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5E2E" w14:textId="0FA8D814" w:rsidR="00A379F7" w:rsidRPr="00726A49" w:rsidRDefault="00726A49" w:rsidP="00A379F7">
      <w:pPr>
        <w:pStyle w:val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>О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ТЧЁТ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АЛТАЙСКОГО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Т.Н. Р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АМЕНСКОЙ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br/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РЕЗУЛЬТАТАХ ДЕЯТЕЛЬНОСТИ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АЛТАЙСКОГО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2017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26A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2021 </w:t>
      </w:r>
      <w:r w:rsidRPr="00726A4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45D39A35" w14:textId="77777777" w:rsidR="00BB057A" w:rsidRPr="00726A49" w:rsidRDefault="00BB057A" w:rsidP="00A379F7">
      <w:pPr>
        <w:pStyle w:val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5E885" w14:textId="373BB83C" w:rsidR="00A379F7" w:rsidRPr="00726A49" w:rsidRDefault="00A379F7" w:rsidP="00F06F5D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На протяжении этого периода Алтайский район занимает первое место среди муниципальных районов по итогам рейтинговой оценки уровня социально-экономического развития муниципальных образований Республики Хакасия, проводимой министерством экономического развития РХ. Не уступает лидирующих позиций по двум из трёх направлений, принимаемых за основу оценки: по социально-экономическому</w:t>
      </w:r>
      <w:r w:rsidR="00726A49">
        <w:rPr>
          <w:rFonts w:ascii="Times New Roman" w:hAnsi="Times New Roman" w:cs="Times New Roman"/>
          <w:sz w:val="28"/>
          <w:szCs w:val="28"/>
        </w:rPr>
        <w:t xml:space="preserve"> </w:t>
      </w:r>
      <w:r w:rsidRPr="00726A49">
        <w:rPr>
          <w:rFonts w:ascii="Times New Roman" w:hAnsi="Times New Roman" w:cs="Times New Roman"/>
          <w:sz w:val="28"/>
          <w:szCs w:val="28"/>
        </w:rPr>
        <w:t xml:space="preserve">развитию и финансовой устойчивости бюджетов. По обеспеченности объектами социальной и инженерной инфраструктуры среди районов занимает второе место, в 2017 году было третье. </w:t>
      </w:r>
    </w:p>
    <w:p w14:paraId="4F06200A" w14:textId="77777777" w:rsidR="00A379F7" w:rsidRPr="00726A49" w:rsidRDefault="00A379F7" w:rsidP="00F06F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Финансы </w:t>
      </w:r>
    </w:p>
    <w:p w14:paraId="390804C9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За 2021 год бюджет района по доходам исполнен на 100,2 %, что на 8,2% выше, чем в 2017 году, а по расходам – на 91,9 %, в 2017 году этот показатель был 89 %. Прирост налоговых и неналоговых поступлений составил 19 %, в 2017 году – 44,9 %. Собственные доходы бюджета муниципального образования Алтайский район составили 429 млн рублей или 38%, в 2017 году они составляли – 293,7 млн рублей или 41 % соответственно.</w:t>
      </w:r>
    </w:p>
    <w:p w14:paraId="03AC751B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Общие доходы консолидированного бюджета района за 2021 год составили 1435,8 млн рублей, что составляет 201,1 % от доходов консолидированного бюджета 2017 года – 713,8 млн рублей.</w:t>
      </w:r>
    </w:p>
    <w:p w14:paraId="0A15375F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Основная доля налоговых доходов бюджета по-прежнему приходится на налог на доходы физических лиц – более 94 % (2017 год – 84 %). Большую часть налога на доходы физических лиц – 63,2% мы получаем от угледобывающих и их подрядных организаций. В 2017 году основными плательщиками налога на доходы физических лиц были бюджетные организации, доля их платежей составляла 43 %, доля угледобывающих предприятий – 28 %.</w:t>
      </w:r>
    </w:p>
    <w:p w14:paraId="1B7BE23E" w14:textId="625D35CF" w:rsid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Среди неналоговых доходов бюджета значительную часть составляют неналоговые доходы от управления и распоряжения муниципальным имуществом, а также земельными участками, государственная собственность на которые не разграничена. В период с 2017 по 2021 год Комитет по управлению муниципальным имуществом обеспечил поступление в бюджет района неналоговых доходов в сумме более 203 млн рублей. </w:t>
      </w:r>
    </w:p>
    <w:p w14:paraId="7362358D" w14:textId="77777777" w:rsidR="00726A49" w:rsidRPr="00726A49" w:rsidRDefault="00726A49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B5B234" w14:textId="77777777" w:rsidR="00A379F7" w:rsidRPr="00726A49" w:rsidRDefault="00A379F7" w:rsidP="00F06F5D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6A4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902"/>
        <w:gridCol w:w="1134"/>
        <w:gridCol w:w="1134"/>
        <w:gridCol w:w="1134"/>
        <w:gridCol w:w="850"/>
        <w:gridCol w:w="851"/>
      </w:tblGrid>
      <w:tr w:rsidR="00A379F7" w:rsidRPr="00726A49" w14:paraId="556D7405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23D0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6CCC2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FCE81" w14:textId="77777777" w:rsidR="00A379F7" w:rsidRPr="00726A49" w:rsidRDefault="00A379F7" w:rsidP="00F06F5D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</w:t>
            </w:r>
            <w:r w:rsidRPr="00726A49">
              <w:rPr>
                <w:rFonts w:ascii="Times New Roman" w:hAnsi="Times New Roman" w:cs="Times New Roman"/>
                <w:sz w:val="28"/>
                <w:szCs w:val="28"/>
              </w:rPr>
              <w:br/>
              <w:t>дохода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2046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FBF9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57AA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B24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B342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25D086A7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8BD3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F687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от аренды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8027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36335,3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24EA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33550,2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0B0A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28406,4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5581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32542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18CB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34080</w:t>
            </w:r>
          </w:p>
        </w:tc>
      </w:tr>
      <w:tr w:rsidR="00A379F7" w:rsidRPr="00726A49" w14:paraId="336CD736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A687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5A49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от аренды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84A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3452,5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E6D2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2680,5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D956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2454,1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896E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1447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</w:p>
        </w:tc>
      </w:tr>
      <w:tr w:rsidR="00A379F7" w:rsidRPr="00726A49" w14:paraId="17CAEA96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8F2C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5C28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от сдачи в аренду муниципального имущества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4D55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748,8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84C3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067B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6D46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065B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A379F7" w:rsidRPr="00726A49" w14:paraId="612EE55D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62C7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3F4D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4DDB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5849,7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B31E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2604,7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B5D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1218,9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A350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FF03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5338</w:t>
            </w:r>
          </w:p>
        </w:tc>
      </w:tr>
      <w:tr w:rsidR="00A379F7" w:rsidRPr="00726A49" w14:paraId="26ECF662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20A5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442A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от продажи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D518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DEB4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8F6D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15D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C224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379F7" w:rsidRPr="00726A49" w14:paraId="36F7FE01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4E49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270A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7F9C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5211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3C11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305E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6C03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379F7" w:rsidRPr="00726A49" w14:paraId="3406A319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83CE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59A9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возмещение ущерба, причинённого муниципальному имуществу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8C54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4617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C396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2BAD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5F00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379F7" w:rsidRPr="00726A49" w14:paraId="70B79348" w14:textId="77777777" w:rsidTr="00990B47">
        <w:trPr>
          <w:trHeight w:val="60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BCC65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D48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2986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46386,3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CD18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39569,8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FE1E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32788,6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ACA1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39158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7A66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45127</w:t>
            </w:r>
          </w:p>
        </w:tc>
      </w:tr>
    </w:tbl>
    <w:p w14:paraId="277591A9" w14:textId="77777777" w:rsidR="00726A49" w:rsidRDefault="00726A49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9A3781" w14:textId="19AD467B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За этот период заключено 444 договора аренды земельных участков, 154 договора купли-продажи земельных участков, 12 договоров аренды недвижимого муниципального имущества.</w:t>
      </w:r>
    </w:p>
    <w:p w14:paraId="30501D91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На протяжении всего периода бюджет сохраняет свою социальную направленность, 73 % расходов уходят на решение вопросов местного значения в сфере образования, источником финансирования которых на 70 % является бюджет Республики Хакасия.</w:t>
      </w:r>
    </w:p>
    <w:p w14:paraId="0C8B0504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На особом контроле администрации района продолжает находиться вопрос исполнения расходных обязательств бюджетами поселений. Бюджет района помогает ликвидировать долги за электроэнергию, коммунальные услуги, своевременно выплачивать заработную плату. На оказание финансовой поддержки поселениям в виде дотаций из бюджета Алтайского района направлено 45846 тыс. рублей, из бюджета Республики Хакасия – 63965 тыс. рублей, из бюджетов двух уровней – 109811 тыс. рублей. </w:t>
      </w:r>
    </w:p>
    <w:p w14:paraId="4C4C2CEA" w14:textId="77777777" w:rsidR="00A379F7" w:rsidRPr="00726A49" w:rsidRDefault="00A379F7" w:rsidP="00F06F5D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p w14:paraId="2163EB45" w14:textId="01C45B66" w:rsidR="00A379F7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отчётном периоде в районе наблюдался рост деловой активности.</w:t>
      </w:r>
    </w:p>
    <w:p w14:paraId="64F3108C" w14:textId="77777777" w:rsidR="00726A49" w:rsidRPr="00726A49" w:rsidRDefault="00726A49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709"/>
        <w:gridCol w:w="850"/>
        <w:gridCol w:w="851"/>
        <w:gridCol w:w="850"/>
        <w:gridCol w:w="993"/>
        <w:gridCol w:w="1134"/>
      </w:tblGrid>
      <w:tr w:rsidR="00A379F7" w:rsidRPr="00726A49" w14:paraId="5E8000F8" w14:textId="77777777" w:rsidTr="00990B47">
        <w:trPr>
          <w:trHeight w:val="60"/>
        </w:trPr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57CE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Показатели на 01.04.2022 года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469C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BC1C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6B7A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F736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A2C8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BEEA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79F7" w:rsidRPr="00726A49" w14:paraId="1FDE023F" w14:textId="77777777" w:rsidTr="00990B47">
        <w:trPr>
          <w:trHeight w:val="60"/>
        </w:trPr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204A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юридических лиц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A783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2396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2294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7178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DBA5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1C2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79F7" w:rsidRPr="00726A49" w14:paraId="50E346A6" w14:textId="77777777" w:rsidTr="00990B47">
        <w:trPr>
          <w:trHeight w:val="60"/>
        </w:trPr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8DFB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зарегистрированных обособленных подразделений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B252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C3EE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6DF1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8684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D16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2D21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379F7" w:rsidRPr="00726A49" w14:paraId="5F3D5FC1" w14:textId="77777777" w:rsidTr="00990B47">
        <w:trPr>
          <w:trHeight w:val="60"/>
        </w:trPr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A3D4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ИП и КФХ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D80A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D081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76 (3)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C458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335F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9FEE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84 (1)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AF6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364 (4)</w:t>
            </w:r>
          </w:p>
        </w:tc>
      </w:tr>
      <w:tr w:rsidR="00A379F7" w:rsidRPr="00726A49" w14:paraId="498EF987" w14:textId="77777777" w:rsidTr="00990B47">
        <w:trPr>
          <w:trHeight w:val="60"/>
        </w:trPr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F5EA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Создано дополнительно рабочих мест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024C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0ECB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7232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D031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B398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9E8A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A379F7" w:rsidRPr="00726A49" w14:paraId="298CF250" w14:textId="77777777" w:rsidTr="00990B47">
        <w:trPr>
          <w:trHeight w:val="60"/>
        </w:trPr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785F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самозанятых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BFB7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C270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1328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CEEE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565F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667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 xml:space="preserve">528 </w:t>
            </w:r>
          </w:p>
        </w:tc>
      </w:tr>
    </w:tbl>
    <w:p w14:paraId="2711D056" w14:textId="77777777" w:rsidR="00726A49" w:rsidRDefault="00726A49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38C0FB" w14:textId="43E59589" w:rsidR="00A379F7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Наиболее продуктивным в этом отношении был 2019 год, отметившийся наибольшим числом вновь зарегистрированных субъектов бизнеса, дополнительно созданных рабочих мест. Последствия пандемии негативно повлияли на развитие деловой активности, по этой причине в 2020 году произошёл резкий рост уровня зарегистрированной безработицы.</w:t>
      </w:r>
    </w:p>
    <w:p w14:paraId="59A686CE" w14:textId="77777777" w:rsidR="00726A49" w:rsidRPr="00726A49" w:rsidRDefault="00726A49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709"/>
        <w:gridCol w:w="850"/>
        <w:gridCol w:w="851"/>
        <w:gridCol w:w="850"/>
        <w:gridCol w:w="1418"/>
      </w:tblGrid>
      <w:tr w:rsidR="00A379F7" w:rsidRPr="00726A49" w14:paraId="2AAEF66E" w14:textId="77777777" w:rsidTr="00990B47">
        <w:trPr>
          <w:trHeight w:val="60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00F75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DF72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EC85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793A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871C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14EF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54424521" w14:textId="77777777" w:rsidTr="00990B47">
        <w:trPr>
          <w:trHeight w:val="60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0A33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Численность зарегистрированных безработных, чел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34DB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9A7F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EA9C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4A78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B337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379F7" w:rsidRPr="00726A49" w14:paraId="517AED1C" w14:textId="77777777" w:rsidTr="00990B47">
        <w:trPr>
          <w:trHeight w:val="60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2E83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безработицы, 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37A7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F1EE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213D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FB2E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E868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14:paraId="405B9D84" w14:textId="77777777" w:rsidR="00926DE5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E73ABD" w14:textId="5E6413E2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за 2021 год составил 1,1%, что ниже среднего значения по Республике Хакасия – 1,7 %.</w:t>
      </w:r>
    </w:p>
    <w:p w14:paraId="08C55043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Район продолжает лидировать по ряду важных показателей:</w:t>
      </w:r>
    </w:p>
    <w:p w14:paraId="14A4C786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– отгрузка товаров собственного производства, выполнение работ и услуг по кругу крупных и средних организаций в 2021 году составила 1487,4 тыс. руб./чел. при среднем значении по Республике Хакасия 554,7 тыс. руб./чел.;</w:t>
      </w:r>
    </w:p>
    <w:p w14:paraId="10872777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– объём инвестиций в основной капитал крупных и средних организаций по всем источникам финансирования – 202,0 тыс. рублей (по Республике Хакасия – 74,6 тыс. руб./чел.). </w:t>
      </w:r>
    </w:p>
    <w:p w14:paraId="2C01B428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Размер среднемесячной начисленной заработной платы работников (по крупным и средним организациям) по итогам 2021 года составляет 54082,4 рубля и превышает средний республиканский показатель (50352,5 руб.) на 7,4 %. </w:t>
      </w:r>
    </w:p>
    <w:p w14:paraId="586937A6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Наряду с промышленными предприятиями значительный вклад в социально-экономическое развитие района вносят сельхозтоваропроизводители.</w:t>
      </w:r>
    </w:p>
    <w:p w14:paraId="5788C254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Производство молока в сельскохозяйственных организациях в 2021 году несколько сократилось (на 0,4 кг/чел.) по сравнению с 2020 годом и составило 151,9 кг/чел. производство скота и птицы на убой (в живом весе) составило 38,8 кг/чел. при среднем значении по республике 6,3 кг/чел. В 2021 году сельхозтоваропроизводители района стали победителями республиканского соревнования.</w:t>
      </w:r>
    </w:p>
    <w:p w14:paraId="3494075A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результатов по различным направлениям в животноводстве и растениеводстве в 2017–2022 годах показывает, что по ряду показателей имеется отрицательная динамика. </w:t>
      </w:r>
    </w:p>
    <w:p w14:paraId="2DEAE4AF" w14:textId="77777777" w:rsidR="00A379F7" w:rsidRPr="00726A49" w:rsidRDefault="00A379F7" w:rsidP="00F06F5D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надоя молока</w:t>
      </w:r>
      <w:r w:rsidRPr="00726A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9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417"/>
        <w:gridCol w:w="1559"/>
        <w:gridCol w:w="1418"/>
      </w:tblGrid>
      <w:tr w:rsidR="00A379F7" w:rsidRPr="00726A49" w14:paraId="525456E8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3D103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625D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6D3C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7E40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±,%</w:t>
            </w:r>
          </w:p>
        </w:tc>
      </w:tr>
      <w:tr w:rsidR="00A379F7" w:rsidRPr="00726A49" w14:paraId="61579F9C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6E51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Валовый надой молока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06A6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50472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F5F6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38131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B54F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-24,45</w:t>
            </w:r>
          </w:p>
        </w:tc>
      </w:tr>
      <w:tr w:rsidR="00A379F7" w:rsidRPr="00726A49" w14:paraId="232B5198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304A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Надой на 1 фуражную корову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56FF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59B6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82A4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</w:tr>
      <w:tr w:rsidR="00A379F7" w:rsidRPr="00726A49" w14:paraId="1CEB73BB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5FF9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Валовый привес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B601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1D4C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7093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BC2C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73,17</w:t>
            </w:r>
          </w:p>
        </w:tc>
      </w:tr>
      <w:tr w:rsidR="00A379F7" w:rsidRPr="00726A49" w14:paraId="4B3DA0FC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38C1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Среднесуточный привес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79A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16B4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CA54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46,46</w:t>
            </w:r>
          </w:p>
        </w:tc>
      </w:tr>
    </w:tbl>
    <w:p w14:paraId="62941AEB" w14:textId="77777777" w:rsidR="00926DE5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55B79F" w14:textId="141E1EE6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Снижение валового надоя молока связано с завершением деятельности ООО «Аршановское» в области молочного скотоводства. С ноября 2018 года основным видом деятельности предприятия является разведение крупного рогатого скота мясного направления.</w:t>
      </w:r>
    </w:p>
    <w:p w14:paraId="45EF6DB9" w14:textId="77777777" w:rsidR="00926DE5" w:rsidRDefault="00926DE5" w:rsidP="00F06F5D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1FA98" w14:textId="0D512B86" w:rsidR="00A379F7" w:rsidRPr="00726A49" w:rsidRDefault="00A379F7" w:rsidP="00F06F5D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анализ воспроизводства сельскохозяйственных животных 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417"/>
        <w:gridCol w:w="1559"/>
        <w:gridCol w:w="1560"/>
      </w:tblGrid>
      <w:tr w:rsidR="00A379F7" w:rsidRPr="00726A49" w14:paraId="47443685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77D06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426E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5FA1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8DDD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±,%</w:t>
            </w:r>
          </w:p>
        </w:tc>
      </w:tr>
      <w:tr w:rsidR="00A379F7" w:rsidRPr="00726A49" w14:paraId="221435DC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C659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Выход телят на 100 коров,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24F2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2C02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2EBF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+14,51</w:t>
            </w:r>
          </w:p>
        </w:tc>
      </w:tr>
      <w:tr w:rsidR="00A379F7" w:rsidRPr="00726A49" w14:paraId="2FE4A5C5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2F07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Выход ягнят на 100 овец,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F0FB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BCD0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83,32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6749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+3,98</w:t>
            </w:r>
          </w:p>
        </w:tc>
      </w:tr>
      <w:tr w:rsidR="00A379F7" w:rsidRPr="00726A49" w14:paraId="5D1C3475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83E4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Выход жеребят на 100 конематок,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9D6C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05CF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C3C9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-10,85</w:t>
            </w:r>
          </w:p>
        </w:tc>
      </w:tr>
    </w:tbl>
    <w:p w14:paraId="1654902B" w14:textId="77777777" w:rsidR="00926DE5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1545AC" w14:textId="6A2B331B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Снижение посевных площадей ярового сева и зерновых, кормовых культур произошло в связи с закрытием трёх крестьянских (фермерских) хозяйств, занимавшихся растениеводством.</w:t>
      </w:r>
    </w:p>
    <w:p w14:paraId="311E90CE" w14:textId="452B7F10" w:rsidR="00A379F7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Летом 2021 года ООО «Аршановское» получило статус семеноводческого хозяйства. К сожалению, ООО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Вива-Лаб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», ООО «Алтай» утратили статус племенных хозяйств. Руководство ООО «Алтай» прикладывает все усилия для того, чтобы уже в этом году вернуть статус племенного репродуктора по разведению крупного рогатого скота симментальской породы молочного направления.</w:t>
      </w:r>
    </w:p>
    <w:p w14:paraId="30B6608E" w14:textId="77777777" w:rsidR="00926DE5" w:rsidRPr="00726A49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A606F3" w14:textId="77777777" w:rsidR="00A379F7" w:rsidRPr="00726A49" w:rsidRDefault="00A379F7" w:rsidP="00F06F5D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в полеводстве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1417"/>
        <w:gridCol w:w="1418"/>
        <w:gridCol w:w="1276"/>
      </w:tblGrid>
      <w:tr w:rsidR="00A379F7" w:rsidRPr="00726A49" w14:paraId="06235699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5897F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8924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13A2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20F5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±, %</w:t>
            </w:r>
          </w:p>
        </w:tc>
      </w:tr>
      <w:tr w:rsidR="00A379F7" w:rsidRPr="00726A49" w14:paraId="43D73A5B" w14:textId="77777777" w:rsidTr="00990B47">
        <w:trPr>
          <w:trHeight w:val="261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DE4D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Наличие пашни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06A2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27063,9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59C3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28969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76E8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A379F7" w:rsidRPr="00726A49" w14:paraId="0C46A79C" w14:textId="77777777" w:rsidTr="00990B47">
        <w:trPr>
          <w:trHeight w:val="261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699B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Использование пашни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2CC9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27063,9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01DB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28969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0D34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A379F7" w:rsidRPr="00726A49" w14:paraId="1F8FAF71" w14:textId="77777777" w:rsidTr="00990B47">
        <w:trPr>
          <w:trHeight w:val="261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8CA7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Площадь сева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BF2F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25716,9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4253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27103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3F5F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</w:tr>
      <w:tr w:rsidR="00A379F7" w:rsidRPr="00726A49" w14:paraId="32F9D605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A4A0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Площадь ярового сева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7EA4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20751,3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394E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18754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496C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-9,62</w:t>
            </w:r>
          </w:p>
        </w:tc>
      </w:tr>
      <w:tr w:rsidR="00A379F7" w:rsidRPr="00726A49" w14:paraId="127079DC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4435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Площадь посева зерновых культур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89CC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15342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24F6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12221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D4AE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-20,34</w:t>
            </w:r>
          </w:p>
        </w:tc>
      </w:tr>
      <w:tr w:rsidR="00A379F7" w:rsidRPr="00726A49" w14:paraId="3CB040A7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FA7E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Площадь посева кормовых культур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8ADC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0282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2219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-37,30</w:t>
            </w:r>
          </w:p>
        </w:tc>
      </w:tr>
      <w:tr w:rsidR="00A379F7" w:rsidRPr="00726A49" w14:paraId="74096FDD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D1E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Намолочено зерна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7506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10942,6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3E1E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26787,15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DF8A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144,80</w:t>
            </w:r>
          </w:p>
        </w:tc>
      </w:tr>
      <w:tr w:rsidR="00A379F7" w:rsidRPr="00726A49" w14:paraId="52282385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576E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Урожайность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E90D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90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6138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84,82</w:t>
            </w:r>
          </w:p>
        </w:tc>
      </w:tr>
      <w:tr w:rsidR="00A379F7" w:rsidRPr="00726A49" w14:paraId="7A465EBC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77A5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 том числе пшеницы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DFB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4466,3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5724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10545,6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DEA6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136,11</w:t>
            </w:r>
          </w:p>
        </w:tc>
      </w:tr>
      <w:tr w:rsidR="00A379F7" w:rsidRPr="00726A49" w14:paraId="154B1714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D530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Урожайность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6E96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5786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9BD2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118,44</w:t>
            </w:r>
          </w:p>
        </w:tc>
      </w:tr>
    </w:tbl>
    <w:p w14:paraId="6D7B4ED3" w14:textId="78CD744F" w:rsidR="00BB057A" w:rsidRDefault="00BB057A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3F20E" w14:textId="359A10ED" w:rsidR="002C7FE0" w:rsidRDefault="002C7FE0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82817" w14:textId="77777777" w:rsidR="002C7FE0" w:rsidRPr="00726A49" w:rsidRDefault="002C7FE0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128C9" w14:textId="158A1604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14:paraId="1946B503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администрациями поселений и ресурсоснабжающими организациями проведена большая работа по укреплению материально-технической базы и расширению инфраструктуры жилищно-коммунального комплекса. </w:t>
      </w:r>
    </w:p>
    <w:p w14:paraId="489AEFA8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Проведены частичные ремонты оборудования котельных, тепло- и водопроводных сетей. Наиболее значительные ремонты были в котельных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Белоярского, Новороссийского,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Очурского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сельсоветов, ремонты и реконструкции тепловых и водопроводных сетей на территории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Новороссийского, Кировского,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сельсоветов. Эта работа позволила провести отопительный сезон года без серьёзных технологических проблем.</w:t>
      </w:r>
    </w:p>
    <w:p w14:paraId="7AE8E961" w14:textId="77777777" w:rsidR="00A379F7" w:rsidRPr="00726A49" w:rsidRDefault="00A379F7" w:rsidP="00F06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Однако, обеспеченность инженерной инфраструктурой отстаёт от средних республиканских показателей.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134"/>
        <w:gridCol w:w="992"/>
        <w:gridCol w:w="1134"/>
        <w:gridCol w:w="1276"/>
      </w:tblGrid>
      <w:tr w:rsidR="00A379F7" w:rsidRPr="00726A49" w14:paraId="4ED8B65D" w14:textId="77777777" w:rsidTr="00990B47">
        <w:trPr>
          <w:trHeight w:val="489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E16E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1DF6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46EC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B760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BD64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РХ</w:t>
            </w:r>
          </w:p>
        </w:tc>
      </w:tr>
      <w:tr w:rsidR="00A379F7" w:rsidRPr="00726A49" w14:paraId="2CA04845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8F3A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площади, оборудованной водопроводом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981F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C21F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0123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8A49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A379F7" w:rsidRPr="00726A49" w14:paraId="4245C7EC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1571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площади, оборудованной канализацией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7910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4B5A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9B35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EB1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A379F7" w:rsidRPr="00726A49" w14:paraId="349EAB37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3836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площади, оборудованной отоплением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4B1A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0261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212B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44EC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A379F7" w:rsidRPr="00726A49" w14:paraId="7EBC0A43" w14:textId="77777777" w:rsidTr="00990B47">
        <w:trPr>
          <w:trHeight w:val="60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B3A0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площади, оборудованной водоснабжением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E826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6B0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0D66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EBB1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</w:tbl>
    <w:p w14:paraId="545A53B3" w14:textId="77777777" w:rsidR="00926DE5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E2B34A" w14:textId="2A0D1E90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Имеется серьезная проблема обеспечения населения водой, соответствующей санитарным нормам. В этих целях в с. Краснополье установлена система водоподготовки на новый водозабор, общая стоимость работ составила более 7 млн </w:t>
      </w:r>
      <w:proofErr w:type="gramStart"/>
      <w:r w:rsidRPr="00726A49">
        <w:rPr>
          <w:rFonts w:ascii="Times New Roman" w:hAnsi="Times New Roman" w:cs="Times New Roman"/>
          <w:sz w:val="28"/>
          <w:szCs w:val="28"/>
        </w:rPr>
        <w:t>рублей В настоящее время</w:t>
      </w:r>
      <w:proofErr w:type="gramEnd"/>
      <w:r w:rsidRPr="00726A49">
        <w:rPr>
          <w:rFonts w:ascii="Times New Roman" w:hAnsi="Times New Roman" w:cs="Times New Roman"/>
          <w:sz w:val="28"/>
          <w:szCs w:val="28"/>
        </w:rPr>
        <w:t xml:space="preserve"> проводится работа по решению проблемы обеспечения водой, соответствующей санитарным нормам, в Новороссийском сельсовете.</w:t>
      </w:r>
    </w:p>
    <w:p w14:paraId="2A04D69B" w14:textId="31E4EFAC" w:rsidR="00A379F7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В отчётном периоде совместно с поселениями в рамках национального проекта «Безопасные и качественные автомобильные дороги», государственной программы РХ «Развитие транспортной системы Республики Хакасия» проведена значительная работа по повышению качества автомобильных дорог на территории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Белоярского,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Очурского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сельсоветов на сумму 80 млн 134 тыс. рублей. </w:t>
      </w:r>
    </w:p>
    <w:p w14:paraId="36CB6F21" w14:textId="77777777" w:rsidR="00926DE5" w:rsidRPr="00726A49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A9BF0B" w14:textId="77777777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Социальная инфраструктура</w:t>
      </w:r>
    </w:p>
    <w:p w14:paraId="0912CE75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Совместно с поселениями проведена значительная работа по укреплению социальной инфраструктуры. Повышение доступности и качества услуг в сфере культуры обеспечено через строительство нового здания Дома культуры в посёлке Изыхские Копи, ремонты Домов культуры в сёлах Очуры,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деревнях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Лукьяновка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Березовка,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Герасимово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.</w:t>
      </w:r>
    </w:p>
    <w:p w14:paraId="31872098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Основными достижениями считаем создание 120 дополнительных мест в детских садах путём строительства новых зданий для детей в возрасте до трёх лет в сёлах Белый Яр и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. Повышение качества предоставляемых услуг в сфере образования достигнуто в том числе за счёт работы, направленной на укрепление и развитие материально-технической базы, создание условий, отвечающих требованиям пожарной, технической, антитеррористической безопасности, санитарным нормам и правилам.</w:t>
      </w:r>
    </w:p>
    <w:p w14:paraId="27FA22A4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Строительство двух новых зданий детских садов в сёлах Белый Яр и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осуществлено в рамках национального проекта «Демография» федерального проекта «Содействие занятости женщин – создание условий дошкольного образования для детей в возрасте до трёх лет». Общее финансирование на строительство и оснащение оборудованием детского сада в селе Белый Яр составило 61,1 млн рублей, в селе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– 69,8 млн рублей.</w:t>
      </w:r>
    </w:p>
    <w:p w14:paraId="420FA2A1" w14:textId="1F720A16" w:rsidR="00A379F7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С 2021 года они функционируют как отдельные юридические лица: МБДОУ Белоярский детский сад «Тёма» и МБДОУ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Подсинский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детский сад «Алёнка».</w:t>
      </w:r>
    </w:p>
    <w:p w14:paraId="74F9B2B3" w14:textId="77777777" w:rsidR="00926DE5" w:rsidRPr="00726A49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DEC50A" w14:textId="77777777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</w:p>
    <w:p w14:paraId="393A0692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Обеспеченность детскими дошкольными учреждениями составляет 815 мест на 1000 детей, что выше среднего показателя по Республике Хакасия (728).</w:t>
      </w:r>
    </w:p>
    <w:p w14:paraId="021AE549" w14:textId="77777777" w:rsidR="008A4387" w:rsidRPr="00726A49" w:rsidRDefault="00A379F7" w:rsidP="00F06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Охват детей в возрасте от одного года до семи лет дошкольным образованием представлен в таблице.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</w:tblGrid>
      <w:tr w:rsidR="00A379F7" w:rsidRPr="00726A49" w14:paraId="2D7490D6" w14:textId="77777777" w:rsidTr="00990B47">
        <w:trPr>
          <w:trHeight w:val="60"/>
        </w:trPr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AD79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услуги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EA7C9" w14:textId="77777777" w:rsidR="00A379F7" w:rsidRPr="00726A49" w:rsidRDefault="00A379F7" w:rsidP="00F06F5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79D44" w14:textId="77777777" w:rsidR="00A379F7" w:rsidRPr="00726A49" w:rsidRDefault="00A379F7" w:rsidP="00F06F5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90BFA" w14:textId="77777777" w:rsidR="00A379F7" w:rsidRPr="00726A49" w:rsidRDefault="00A379F7" w:rsidP="00F06F5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D3A3B" w14:textId="77777777" w:rsidR="00A379F7" w:rsidRPr="00726A49" w:rsidRDefault="00A379F7" w:rsidP="00F06F5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FBD0D" w14:textId="77777777" w:rsidR="00A379F7" w:rsidRPr="00726A49" w:rsidRDefault="00A379F7" w:rsidP="00F06F5D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26DE5" w:rsidRPr="00726A49" w14:paraId="6B70EAF8" w14:textId="77777777" w:rsidTr="00990B47">
        <w:trPr>
          <w:trHeight w:val="60"/>
        </w:trPr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537E8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EBB2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E114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A537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0172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50BD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2D97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D9F3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1096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2456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E495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6DE5" w:rsidRPr="00726A49" w14:paraId="0351FE0E" w14:textId="77777777" w:rsidTr="00990B47">
        <w:trPr>
          <w:trHeight w:val="60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30DE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825D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160C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BB0A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4CD2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E82B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99FD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6DC1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6536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A18E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9BC8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14:paraId="67B60BDE" w14:textId="77777777" w:rsidR="00926DE5" w:rsidRDefault="00926DE5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8C1A5A" w14:textId="1E5616D1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отчётном периоде численность учащихся в общеобразовательных организациях выросла на 9,6 %.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993"/>
        <w:gridCol w:w="708"/>
        <w:gridCol w:w="851"/>
        <w:gridCol w:w="850"/>
        <w:gridCol w:w="993"/>
      </w:tblGrid>
      <w:tr w:rsidR="00A379F7" w:rsidRPr="00726A49" w14:paraId="278EE268" w14:textId="77777777" w:rsidTr="00990B47">
        <w:trPr>
          <w:trHeight w:val="60"/>
        </w:trPr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289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E8BA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05A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64AF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6910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7060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111F8BBD" w14:textId="77777777" w:rsidTr="00990B47">
        <w:trPr>
          <w:trHeight w:val="60"/>
        </w:trPr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07B8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002B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63A4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63D9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5792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4FEC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</w:tr>
      <w:tr w:rsidR="00A379F7" w:rsidRPr="00726A49" w14:paraId="628C9A8E" w14:textId="77777777" w:rsidTr="00990B47">
        <w:trPr>
          <w:trHeight w:val="60"/>
        </w:trPr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08AE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Учащихся 1 класса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DB76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2C5E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063E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51B9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029B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</w:tbl>
    <w:p w14:paraId="47123452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Однако статистические данные по рождению детей в период 2017–2021 годов позволяют прогнозировать снижение количества обучающихся к 2024 году.</w:t>
      </w:r>
    </w:p>
    <w:p w14:paraId="206DF57F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муниципальных программ «Развитие системы образования муниципального образования Алтайский район на 2017–2020 годы», «Развитие системы образования муниципального образования </w:t>
      </w:r>
      <w:r w:rsidRPr="00726A49">
        <w:rPr>
          <w:rFonts w:ascii="Times New Roman" w:hAnsi="Times New Roman" w:cs="Times New Roman"/>
          <w:sz w:val="28"/>
          <w:szCs w:val="28"/>
        </w:rPr>
        <w:lastRenderedPageBreak/>
        <w:t>Алтайский район на 2021–2025 годы» из средств федерального, республиканского и районного бюджетов:</w:t>
      </w:r>
    </w:p>
    <w:p w14:paraId="356FDC75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– проведён капитальный ремонт и оснащение оборудованием спортивных залов МБОУ «Новороссийская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Изыхская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 на сумму около 6,9 млн рублей;</w:t>
      </w:r>
    </w:p>
    <w:p w14:paraId="1F694DBF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– проведена частичная замена оконных и дверных блоков в 27 образовательных организациях на общую сумму около 11 млн рублей; </w:t>
      </w:r>
    </w:p>
    <w:p w14:paraId="25D858AD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– проведён ремонт кровли 11 учреждений на сумму 7,3 млн рублей;</w:t>
      </w:r>
    </w:p>
    <w:p w14:paraId="77CEB8D7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– выполнены электромонтажные работы, замена электрического освещения в шести образовательных организациях на сумму 1,8 млн рублей;</w:t>
      </w:r>
    </w:p>
    <w:p w14:paraId="509601B2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– установлена система мониторинга, обработки и передачи данных о параметрах возгорания, угрозах развития крупных пожаров с дублированием этих сигналов на пульт подразделений пожарной охраны без участия работников объекта и транслирующей этот сигнал организации («Цербер») в 11 общеобразовательных организациях, в десяти дошкольных образовательных организациях и в организациях дополнительного образования; </w:t>
      </w:r>
    </w:p>
    <w:p w14:paraId="25CBF197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– проведены текущие косметические ремонты столовых и пищеблоков образовательных организаций, работы по ремонту водоснабжения, отопления и канализации; </w:t>
      </w:r>
    </w:p>
    <w:p w14:paraId="1C000539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– закуплены новые компьютеры в 10 образовательных организаций;</w:t>
      </w:r>
    </w:p>
    <w:p w14:paraId="47D52D9A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– приобретено оборудование для медицинских кабинетов (бактерицидные облучатели,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оториноскопы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плантографы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) на сумму 5,7 млн рублей.</w:t>
      </w:r>
    </w:p>
    <w:p w14:paraId="58435B3D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Проведены ремонты группы Белоярского детского сада «Буратино» и МБДОУ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Кайбальский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детский сад «Солнышко» на общую сумму 2474,5 тысяч рублей из местного бюджета.</w:t>
      </w:r>
    </w:p>
    <w:p w14:paraId="2B101B63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Аршановским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сельсоветом оказана помощь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Сартыковская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МБДОУ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Торгаях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» в размере 1107000 рублей на приобретение мебели и ремонты.</w:t>
      </w:r>
    </w:p>
    <w:p w14:paraId="23F771D8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защищённости за счёт средств спонсорской помощи ОК РУСАЛ все образовательные организации оборудованы системой экстренного оповещения работников, обучающихся и иных лиц, находящихся на объекте, о потенциальной угрозе возникновения чрезвычайной ситуации, системой видеонаблюдения.</w:t>
      </w:r>
    </w:p>
    <w:p w14:paraId="66D72CE1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2021 году по федеральному проекту «Современная школа» национального проекта «Образование» в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Кайбальская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«Кировская СШ» и МБОУ «Новомихайловская СШ» созданы Центры образования «Точка роста» естественно-научного и технологического профилей. </w:t>
      </w:r>
    </w:p>
    <w:p w14:paraId="67E1A387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Целями их деятельности являются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«ОБЖ», «Технология», «Информатика», а также оборудованы цифровые информационные центры в рамках федерального проекта «Цифровая </w:t>
      </w:r>
      <w:r w:rsidRPr="00726A49">
        <w:rPr>
          <w:rFonts w:ascii="Times New Roman" w:hAnsi="Times New Roman" w:cs="Times New Roman"/>
          <w:sz w:val="28"/>
          <w:szCs w:val="28"/>
        </w:rPr>
        <w:lastRenderedPageBreak/>
        <w:t>образовательная среда» национального проекта «Образование» в МБОУ «Белоярская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Подсинская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Кайбальская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Изыхская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 на общую сумму белее 11 миллионов рублей.</w:t>
      </w:r>
    </w:p>
    <w:p w14:paraId="564B728B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2022 году планируется создание Центров образования «Точка роста» естественно-научного и технологического профилей в пяти школах (МБОУ «Краснопольская СШ», Филиале МБОУ «Белоярская СШ» Лукьяновская ОШ»,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Изыхская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«Белоярская СШ», МБОУ «Новороссийская СШ») и цифровых информационных центров – в семи (МБОУ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Очурская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Аршановская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СШ», МБОУ «Кировская СШ», МБОУ «Новороссийская СШ», МБОУ «Краснопольская СШ», Филиале МБОУ «Белоярская СШ» Лукьяновская ОШ», МБОУ «Новомихайловская СШ») на общую сумму более 6 млн рублей. </w:t>
      </w:r>
    </w:p>
    <w:p w14:paraId="27762C0B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Будет проведён капитальный ремонт и укрепление материальной базы МБОУ «Новороссийская СШ» на общую сумму более 37 млн рублей.</w:t>
      </w:r>
    </w:p>
    <w:p w14:paraId="7B846AE6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Работа по созданию условий, соответствующих современным требованиям, в сочетании с деятельностью педагогических коллективов позволили нашим детям добиться следующих результатов.</w:t>
      </w:r>
    </w:p>
    <w:p w14:paraId="2205EFA5" w14:textId="77777777" w:rsidR="00A379F7" w:rsidRPr="00726A49" w:rsidRDefault="00A379F7" w:rsidP="00F06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По результатам освоения программ основного общего образования аттестаты с отличием получили выпускники 9-х классов (по годам см. таблицу).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850"/>
        <w:gridCol w:w="709"/>
        <w:gridCol w:w="709"/>
        <w:gridCol w:w="709"/>
        <w:gridCol w:w="1134"/>
      </w:tblGrid>
      <w:tr w:rsidR="00A379F7" w:rsidRPr="00726A49" w14:paraId="5D88A7E7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74A9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608F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2610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0B15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03D1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5213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2405F8E4" w14:textId="77777777" w:rsidTr="00990B47">
        <w:trPr>
          <w:trHeight w:val="60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E3018" w14:textId="2BFF50BD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26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учащихся, получивших аттестаты с отличием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7E72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AB1B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13D8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35CA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589D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429F901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По результатам освоения программ среднего общего образования:</w:t>
      </w:r>
    </w:p>
    <w:p w14:paraId="29425B5B" w14:textId="77777777" w:rsidR="00A379F7" w:rsidRPr="00726A49" w:rsidRDefault="00A379F7" w:rsidP="00F06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1. Результаты ЕГЭ 80 баллов и более получили: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386"/>
        <w:gridCol w:w="1568"/>
        <w:gridCol w:w="1385"/>
        <w:gridCol w:w="1597"/>
        <w:gridCol w:w="1560"/>
      </w:tblGrid>
      <w:tr w:rsidR="00A379F7" w:rsidRPr="00726A49" w14:paraId="046ECC34" w14:textId="77777777" w:rsidTr="00990B47">
        <w:trPr>
          <w:trHeight w:val="60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76A2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1426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E0FA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BABD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C7B6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7C50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1A27DB67" w14:textId="77777777" w:rsidTr="00990B47">
        <w:trPr>
          <w:trHeight w:val="60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CA9E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DDF0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17 (22,7%)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2C60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 (14,03%)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4896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13 (14,9%)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84CD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19 (30,2%)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7FFA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18 (26,9%)</w:t>
            </w:r>
          </w:p>
        </w:tc>
      </w:tr>
    </w:tbl>
    <w:p w14:paraId="6B398A62" w14:textId="77777777" w:rsidR="00926DE5" w:rsidRDefault="00926DE5" w:rsidP="00F06F5D">
      <w:pPr>
        <w:pStyle w:val="a4"/>
        <w:spacing w:line="24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14:paraId="0618AC34" w14:textId="1F391078" w:rsidR="00A379F7" w:rsidRPr="00726A49" w:rsidRDefault="00A379F7" w:rsidP="00F06F5D">
      <w:pPr>
        <w:pStyle w:val="a4"/>
        <w:spacing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726A49">
        <w:rPr>
          <w:rStyle w:val="a8"/>
          <w:rFonts w:ascii="Times New Roman" w:hAnsi="Times New Roman" w:cs="Times New Roman"/>
          <w:sz w:val="28"/>
          <w:szCs w:val="28"/>
        </w:rPr>
        <w:t>2. Медали «Золотая надежда Хакасии», «За особые успехи в учении» получили выпускники 11-х классов: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959"/>
        <w:gridCol w:w="993"/>
        <w:gridCol w:w="850"/>
        <w:gridCol w:w="1276"/>
        <w:gridCol w:w="1276"/>
      </w:tblGrid>
      <w:tr w:rsidR="00A379F7" w:rsidRPr="00726A49" w14:paraId="20BACDBD" w14:textId="77777777" w:rsidTr="00990B47">
        <w:trPr>
          <w:trHeight w:val="60"/>
        </w:trPr>
        <w:tc>
          <w:tcPr>
            <w:tcW w:w="4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F9B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53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1DAF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379F7" w:rsidRPr="00726A49" w14:paraId="4869E138" w14:textId="77777777" w:rsidTr="00990B47">
        <w:trPr>
          <w:trHeight w:val="60"/>
        </w:trPr>
        <w:tc>
          <w:tcPr>
            <w:tcW w:w="4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39D7C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D5F0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BC1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5F16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AE7B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8358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3B1F8DE0" w14:textId="77777777" w:rsidTr="00990B47">
        <w:trPr>
          <w:trHeight w:val="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1FA2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«Золотая надежда Хакасии»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5CD8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BAD4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478C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961C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C4B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9F7" w:rsidRPr="00726A49" w14:paraId="3C42B102" w14:textId="77777777" w:rsidTr="00990B47">
        <w:trPr>
          <w:trHeight w:val="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2ABB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«За особые успехи в учении»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216B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E742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9BCF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2A17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A82A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AD91868" w14:textId="6C76EBF2" w:rsidR="00BB057A" w:rsidRDefault="00BB057A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68AD7" w14:textId="1249318D" w:rsidR="002C7FE0" w:rsidRDefault="002C7FE0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EA0BA" w14:textId="6F68C361" w:rsidR="002C7FE0" w:rsidRDefault="002C7FE0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C48D7" w14:textId="77777777" w:rsidR="002C7FE0" w:rsidRPr="00726A49" w:rsidRDefault="002C7FE0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D74FD" w14:textId="52477826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14:paraId="7ECDF0E3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В сфере культуры за отчётный период кроме ремонтов зданий Домов культуры установлена модульная котельная для отопления Новомихайловского СДК, укреплена материально-техническая база девяти учреждений культуры. </w:t>
      </w:r>
    </w:p>
    <w:p w14:paraId="3D9F32A5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lastRenderedPageBreak/>
        <w:t>В текущем году будет осуществлено строительство Дома культуры в селе Алтай, стоимость проекта 52 млн 537 тыс. рублей.</w:t>
      </w:r>
    </w:p>
    <w:p w14:paraId="1F66B949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Ограничения, связанные с пандемией, в значительной степени повлияли на деятельность учреждений культуры. Основные показатели отражены в таблице.</w:t>
      </w:r>
    </w:p>
    <w:p w14:paraId="42DEFB16" w14:textId="77777777" w:rsidR="00A379F7" w:rsidRPr="00726A49" w:rsidRDefault="00A379F7" w:rsidP="00F06F5D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Культурно-массовые мероприятия 2017–2021 годов</w:t>
      </w:r>
    </w:p>
    <w:tbl>
      <w:tblPr>
        <w:tblW w:w="94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720"/>
        <w:gridCol w:w="992"/>
        <w:gridCol w:w="993"/>
        <w:gridCol w:w="992"/>
        <w:gridCol w:w="992"/>
        <w:gridCol w:w="1418"/>
      </w:tblGrid>
      <w:tr w:rsidR="00A379F7" w:rsidRPr="00726A49" w14:paraId="220BD2E2" w14:textId="77777777" w:rsidTr="00990B47">
        <w:trPr>
          <w:trHeight w:val="6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3657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8645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E3CD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0D8C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9078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1EF6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B035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79F7" w:rsidRPr="00726A49" w14:paraId="12EB80DE" w14:textId="77777777" w:rsidTr="00990B47">
        <w:trPr>
          <w:trHeight w:val="6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5FD5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5F41D" w14:textId="71766EA1" w:rsidR="00A379F7" w:rsidRPr="00726A49" w:rsidRDefault="00A379F7" w:rsidP="00F06F5D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2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проведённых</w:t>
            </w:r>
            <w:r w:rsidR="0082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2C4C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370F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089F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8CBD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03F5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3324</w:t>
            </w:r>
          </w:p>
        </w:tc>
      </w:tr>
      <w:tr w:rsidR="00A379F7" w:rsidRPr="00726A49" w14:paraId="177F8A8A" w14:textId="77777777" w:rsidTr="00990B47">
        <w:trPr>
          <w:trHeight w:val="6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B935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FBD5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 xml:space="preserve">Всего количество зрителей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01C9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231464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64A4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230412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BD20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233412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4CFF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60216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A77B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233415</w:t>
            </w:r>
          </w:p>
        </w:tc>
      </w:tr>
      <w:tr w:rsidR="00A379F7" w:rsidRPr="00726A49" w14:paraId="6C69D9B2" w14:textId="77777777" w:rsidTr="00990B47">
        <w:trPr>
          <w:trHeight w:val="6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2888F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D80C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5B24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C5B1B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FEB5B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4E604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8E6C4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79F7" w:rsidRPr="00726A49" w14:paraId="13830A1D" w14:textId="77777777" w:rsidTr="00990B47">
        <w:trPr>
          <w:trHeight w:val="6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1827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6F25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Платных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C992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D207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2B21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7262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F66A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A379F7" w:rsidRPr="00726A49" w14:paraId="118CB25A" w14:textId="77777777" w:rsidTr="00990B47">
        <w:trPr>
          <w:trHeight w:val="6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7B967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671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0439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24590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E98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25406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C820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25700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4E3C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8536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2A9E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23617</w:t>
            </w:r>
          </w:p>
        </w:tc>
      </w:tr>
      <w:tr w:rsidR="00A379F7" w:rsidRPr="00726A49" w14:paraId="353F8924" w14:textId="77777777" w:rsidTr="00990B47">
        <w:trPr>
          <w:trHeight w:val="6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2D95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8FD1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Мероприятия для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1C89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A6C3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6DFA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E3FA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C3EB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A379F7" w:rsidRPr="00726A49" w14:paraId="0C735A75" w14:textId="77777777" w:rsidTr="00990B47">
        <w:trPr>
          <w:trHeight w:val="6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F18F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BDFB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2C82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69961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6258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65965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9F12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65965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521A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17912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8341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84656</w:t>
            </w:r>
          </w:p>
        </w:tc>
      </w:tr>
      <w:tr w:rsidR="00A379F7" w:rsidRPr="00726A49" w14:paraId="6F3569B7" w14:textId="77777777" w:rsidTr="00990B47">
        <w:trPr>
          <w:trHeight w:val="6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1F6E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9987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Мероприятия для молодежи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AEEE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 xml:space="preserve">1648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D41A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BB28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CB43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B883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A379F7" w:rsidRPr="00726A49" w14:paraId="10F98C46" w14:textId="77777777" w:rsidTr="00990B47">
        <w:trPr>
          <w:trHeight w:val="6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5731C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DED1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D3ED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64082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0430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63324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9231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63697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4DDC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19038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C4D9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50046</w:t>
            </w:r>
          </w:p>
        </w:tc>
      </w:tr>
      <w:tr w:rsidR="00A379F7" w:rsidRPr="00726A49" w14:paraId="15BF7543" w14:textId="77777777" w:rsidTr="00990B47">
        <w:trPr>
          <w:trHeight w:val="6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71AE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079C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Мероприятия для старшего поколения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C509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C520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4822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3072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691A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379F7" w:rsidRPr="00726A49" w14:paraId="3DAA65AE" w14:textId="77777777" w:rsidTr="00990B47">
        <w:trPr>
          <w:trHeight w:val="6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255E4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01C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E927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15623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4FBE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17318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F9FC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16930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B81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2873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2D8F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4066</w:t>
            </w:r>
          </w:p>
        </w:tc>
      </w:tr>
      <w:tr w:rsidR="00A379F7" w:rsidRPr="00726A49" w14:paraId="68441D9F" w14:textId="77777777" w:rsidTr="00990B47">
        <w:trPr>
          <w:trHeight w:val="6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B980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534B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Мероприятия для лиц с ОВЗ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526D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F69A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444C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FEA8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FB2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379F7" w:rsidRPr="00726A49" w14:paraId="3BDEE8F1" w14:textId="77777777" w:rsidTr="00990B47">
        <w:trPr>
          <w:trHeight w:val="6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52C7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152F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9A4A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F68D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62B2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7266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2DE6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AB78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4302</w:t>
            </w:r>
          </w:p>
        </w:tc>
      </w:tr>
    </w:tbl>
    <w:p w14:paraId="12192034" w14:textId="77777777" w:rsidR="0082158D" w:rsidRDefault="0082158D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B42E9" w14:textId="677F1A19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Спорт</w:t>
      </w:r>
    </w:p>
    <w:p w14:paraId="6C62CAEB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Проведена значительная работа в сфере физической культуры и спорта. Начата серьёзная реконструкция на стадионе «Колос». Детско-юношеская спортивная школа преобразована в Комплексную спортивную школу, основным уставным видом деятельности которой является спортивная подготовка. Это позволило включиться в реализацию федерального проекта «Спорт – норма жизни» в рамках национального проекта «Демография», в результате установлена площадка ГТО, представляющая собой комплекс, оснащённый оборудованием и тренажёрами общей стоимостью около 3,5 миллиона рублей, положено полноразмерное футбольное поле с искусственным покрытием и беговыми дорожками на сумму около 63 млн рублей из бюджетов разного уровня. В плане – работы по приведению ограждения в соответствие требованиям, установка трибун, помещений и оборудования, необходимых для проведения занятий и соревнований различного уровня.</w:t>
      </w:r>
    </w:p>
    <w:p w14:paraId="250F9754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Большая работа по созданию условий для занятий физической культурой и спортом проведена поселениями. За отчётный период установлены спортивные площадки в сёлах Новороссийское,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аале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Сартыков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, посёлке Изыхские Копи, хоккейная площадка в селе Белый Яр, ограждённое мини-</w:t>
      </w:r>
      <w:r w:rsidRPr="00726A49">
        <w:rPr>
          <w:rFonts w:ascii="Times New Roman" w:hAnsi="Times New Roman" w:cs="Times New Roman"/>
          <w:sz w:val="28"/>
          <w:szCs w:val="28"/>
        </w:rPr>
        <w:lastRenderedPageBreak/>
        <w:t xml:space="preserve">футбольное поле и площадка с тренажёрами в деревне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Кайбалы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. В селе Очуры в 2021 году проведены работы по подготовке к укладке искусственного футбольного поля.</w:t>
      </w:r>
    </w:p>
    <w:p w14:paraId="622D3207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культивируются более 25 видов спорта, систематически физической культурой и спортом занимаются более 11 тыс. человек (прирост с 2017 года – более 2600 человек). За 2017–2021 годы в Алтайском районе проведено 254 районных физкультурно-спортивных мероприятия, в которых приняло участие более 13000 спортсменов. В образовательных учреждениях района действуют десять спортивных клубов, в которых занимаются 548 человек. Спортивная инфраструктура клубов – это спортивные залы, инвентарь и оборудование образовательных организаций. </w:t>
      </w:r>
    </w:p>
    <w:p w14:paraId="7AE51F70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районе ежегодно проводятся фестивали ГТО (зимний, летний), а также текущие мероприятия по выполнению нормативов населением. По состоянию на 1 января 2021 года количество жителей, принявших участие в сдаче нормативов, составляет 1079 человек, выполнивших нормативы на знак отличия – 602.</w:t>
      </w:r>
    </w:p>
    <w:p w14:paraId="42F41747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Наиболее популярными и приоритетными видами спорта среди населения Алтайского района являются волейбол, баскетбол, футбол, настольный теннис, вольная борьба, бокс, легкая атлетика и спортивное ориентирование.  </w:t>
      </w:r>
    </w:p>
    <w:p w14:paraId="292DE7EB" w14:textId="77777777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Молодёжная политика</w:t>
      </w:r>
    </w:p>
    <w:p w14:paraId="6126F624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На реализацию мероприятий в рамках муниципальных программ «Молодежь Алтайского района на 2015–2020 годы», «Развитие спорта, туризма и реализация молодежной политики в Алтайском районе (2021–2025 годы)» за отчётный период направлено более 1 миллиона рублей.</w:t>
      </w:r>
    </w:p>
    <w:p w14:paraId="2EBD9FC4" w14:textId="147B1E56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Лауреатами премии главы района в различных сферах деятельности стали 100 представителей молодёжи района, реализовано 17 социально значимых молодёжных проектов. Одним из приоритетов в молодёжной политике в отчётном периоде было развитие добровольчества. Молодые представители района присоединилась к Всероссийской акции «#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>». В районе развернут волонтёрский штаб «Мы вместе», в 2021 году на базе МБУ ЦДО «Радуга» создан Добровольческий центр. Добровольцы принимают участие во всех социально значимых акциях: помощь в период пандемии, сбор помощи в поддержку Донбас</w:t>
      </w:r>
      <w:r w:rsidR="00BB057A" w:rsidRPr="00726A49">
        <w:rPr>
          <w:rFonts w:ascii="Times New Roman" w:hAnsi="Times New Roman" w:cs="Times New Roman"/>
          <w:sz w:val="28"/>
          <w:szCs w:val="28"/>
        </w:rPr>
        <w:t>с</w:t>
      </w:r>
      <w:r w:rsidRPr="00726A49">
        <w:rPr>
          <w:rFonts w:ascii="Times New Roman" w:hAnsi="Times New Roman" w:cs="Times New Roman"/>
          <w:sz w:val="28"/>
          <w:szCs w:val="28"/>
        </w:rPr>
        <w:t>а, помощь детям, находящимся в трудной жизненной ситуации, помощь ветеранам и др.</w:t>
      </w:r>
    </w:p>
    <w:p w14:paraId="3BA6F021" w14:textId="77777777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Социальные льготы</w:t>
      </w:r>
    </w:p>
    <w:p w14:paraId="0E56F83C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В районе сохраняется достаточно высокий удельный вес жителей, имеющих основания для получения различных социальных льгот, находящихся в трудной жизненной ситуации. Администрацией района совместно с заинтересованными ведомствами проводилась работа с категориями граждан, нуждающихся в поддержке государства.</w:t>
      </w:r>
    </w:p>
    <w:p w14:paraId="397DCBE5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За период с 2017 по 2021 год льготным категориям граждан Алтайского района предоставлены 596 земельных участков, в том числе 441 отдельным категориям граждан и 155 гражданам, имеющим трёх и более детей. Заключено 46 договоров найма </w:t>
      </w:r>
      <w:proofErr w:type="spellStart"/>
      <w:r w:rsidRPr="00726A49">
        <w:rPr>
          <w:rFonts w:ascii="Times New Roman" w:hAnsi="Times New Roman" w:cs="Times New Roman"/>
          <w:sz w:val="28"/>
          <w:szCs w:val="28"/>
        </w:rPr>
        <w:t>спецжилфонда</w:t>
      </w:r>
      <w:proofErr w:type="spellEnd"/>
      <w:r w:rsidRPr="00726A49">
        <w:rPr>
          <w:rFonts w:ascii="Times New Roman" w:hAnsi="Times New Roman" w:cs="Times New Roman"/>
          <w:sz w:val="28"/>
          <w:szCs w:val="28"/>
        </w:rPr>
        <w:t xml:space="preserve"> для лиц из числа детей-сирот, детей, оставшихся без попечения родителей. Стоимость приобретённых Комитетом жилых помещений для указанной категории граждан составила около 54,2 миллиона рублей.</w:t>
      </w:r>
    </w:p>
    <w:p w14:paraId="2A03EF94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Управлением социальной поддержки населения поселениями проведена работа по заключению в 2021 году 76 социальных контрактов. </w:t>
      </w:r>
    </w:p>
    <w:p w14:paraId="740ABD01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В 2021 году впервые за последние годы благодаря участию в государственной программе Российской Федерации «Комплексное развитие сельских территорий» построено и передано по договорам социального найма четыре единицы жилья для работников бюджетной сферы района. </w:t>
      </w:r>
    </w:p>
    <w:p w14:paraId="40FA670A" w14:textId="77777777" w:rsidR="002C7FE0" w:rsidRDefault="002C7FE0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1D110" w14:textId="55232976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>Обращения граждан</w:t>
      </w:r>
    </w:p>
    <w:p w14:paraId="6FBE3CD5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Большое внимание продолжает уделяться работе с обращениями граждан. Динамика и тематика обращений представлена в таблице.</w:t>
      </w:r>
    </w:p>
    <w:p w14:paraId="03C3CA4A" w14:textId="77777777" w:rsidR="0082158D" w:rsidRDefault="0082158D" w:rsidP="00F06F5D">
      <w:pPr>
        <w:pStyle w:val="a4"/>
        <w:spacing w:line="240" w:lineRule="auto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</w:p>
    <w:p w14:paraId="7030B867" w14:textId="6670784B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Информация об обращениях граждан, поступивших </w:t>
      </w:r>
      <w:r w:rsidRPr="00726A49">
        <w:rPr>
          <w:rFonts w:ascii="Times New Roman" w:hAnsi="Times New Roman" w:cs="Times New Roman"/>
          <w:b/>
          <w:bCs/>
          <w:position w:val="-10"/>
          <w:sz w:val="28"/>
          <w:szCs w:val="28"/>
        </w:rPr>
        <w:br/>
        <w:t>в администрацию Алтайского района за период с 2017 по 2021 год</w:t>
      </w:r>
    </w:p>
    <w:tbl>
      <w:tblPr>
        <w:tblW w:w="957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3"/>
        <w:gridCol w:w="992"/>
        <w:gridCol w:w="992"/>
        <w:gridCol w:w="1134"/>
        <w:gridCol w:w="993"/>
        <w:gridCol w:w="1275"/>
      </w:tblGrid>
      <w:tr w:rsidR="00A379F7" w:rsidRPr="00726A49" w14:paraId="63335F64" w14:textId="77777777" w:rsidTr="00990B47">
        <w:trPr>
          <w:trHeight w:val="60"/>
        </w:trPr>
        <w:tc>
          <w:tcPr>
            <w:tcW w:w="4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F3F8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5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4FE7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A379F7" w:rsidRPr="00726A49" w14:paraId="0444940C" w14:textId="77777777" w:rsidTr="00990B47">
        <w:trPr>
          <w:trHeight w:val="481"/>
        </w:trPr>
        <w:tc>
          <w:tcPr>
            <w:tcW w:w="41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F6DB3" w14:textId="77777777" w:rsidR="00A379F7" w:rsidRPr="00726A49" w:rsidRDefault="00A379F7" w:rsidP="00F06F5D">
            <w:pPr>
              <w:pStyle w:val="a5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4BD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B1CF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3656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7192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CF87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A379F7" w:rsidRPr="00726A49" w14:paraId="2E9C5F74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0474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 xml:space="preserve">Всего обращений за год, из них: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B747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FD4D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6282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05D4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659B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A379F7" w:rsidRPr="00726A49" w14:paraId="05CA83BA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6B1C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F8B9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C023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CEAD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925A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717D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379F7" w:rsidRPr="00726A49" w14:paraId="28CCE3A0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C2A4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E7FA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3A9F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C5E7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FFC9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A7AF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379F7" w:rsidRPr="00726A49" w14:paraId="74825099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52EF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6A7C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F10B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07E9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53F5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C00A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79F7" w:rsidRPr="00726A49" w14:paraId="653BA7FB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AEB8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9795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0273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E30F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8690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2762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79F7" w:rsidRPr="00726A49" w14:paraId="2FDBC2F7" w14:textId="77777777" w:rsidTr="00990B47">
        <w:trPr>
          <w:trHeight w:val="48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8450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поступивших через вышестоящие 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C757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2DC8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2E469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160E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FE9D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379F7" w:rsidRPr="00726A49" w14:paraId="51A95F66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344F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A6DC8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2839F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04F3D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CC74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4D84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79F7" w:rsidRPr="00726A49" w14:paraId="2F01AC4A" w14:textId="77777777" w:rsidTr="00990B47">
        <w:trPr>
          <w:trHeight w:val="276"/>
        </w:trPr>
        <w:tc>
          <w:tcPr>
            <w:tcW w:w="95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DBCD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 по тематическим разделам</w:t>
            </w:r>
          </w:p>
        </w:tc>
      </w:tr>
      <w:tr w:rsidR="00A379F7" w:rsidRPr="00726A49" w14:paraId="0984BE44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B713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33F1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950B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A6F3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8AE8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C311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9F7" w:rsidRPr="00726A49" w14:paraId="7071C21A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3E7E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57C44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CF84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D586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5C330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DB26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79F7" w:rsidRPr="00726A49" w14:paraId="2F94887C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0517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2ED9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0C69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0677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D8EA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586E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379F7" w:rsidRPr="00726A49" w14:paraId="331DB11E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4C49A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733B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6EEEE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9144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CA0EC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63436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9F7" w:rsidRPr="00726A49" w14:paraId="030F2F4D" w14:textId="77777777" w:rsidTr="00990B47">
        <w:trPr>
          <w:trHeight w:val="261"/>
        </w:trPr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099E7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CE9C5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0DC8B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9A041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5BCB3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4E5C2" w14:textId="77777777" w:rsidR="00A379F7" w:rsidRPr="00726A49" w:rsidRDefault="00A379F7" w:rsidP="00F06F5D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14:paraId="2EF08938" w14:textId="77777777" w:rsidR="0082158D" w:rsidRDefault="0082158D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65F0E" w14:textId="40D10D1B" w:rsidR="00A379F7" w:rsidRPr="00726A49" w:rsidRDefault="00A379F7" w:rsidP="00F06F5D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A49">
        <w:rPr>
          <w:rFonts w:ascii="Times New Roman" w:hAnsi="Times New Roman" w:cs="Times New Roman"/>
          <w:b/>
          <w:bCs/>
          <w:sz w:val="28"/>
          <w:szCs w:val="28"/>
        </w:rPr>
        <w:t xml:space="preserve">Демография </w:t>
      </w:r>
    </w:p>
    <w:p w14:paraId="3BC9A43C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 xml:space="preserve">На протяжении отчётного периода наблюдалась негативная тенденция сокращения численности населения Алтайского района. За пять лет оно уменьшилось на 944 человека. При этом сокращение происходило в связи с естественной и миграционной убылью. В 2021 году отмечен небольшой прирост населения за счёт миграционного прироста (205 чел.) при сохранении естественной убыли (– 149 чел.). На 01 января 2022 года численность населения составила 25189 человек </w:t>
      </w:r>
      <w:proofErr w:type="gramStart"/>
      <w:r w:rsidRPr="00726A4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26A49">
        <w:rPr>
          <w:rFonts w:ascii="Times New Roman" w:hAnsi="Times New Roman" w:cs="Times New Roman"/>
          <w:sz w:val="28"/>
          <w:szCs w:val="28"/>
        </w:rPr>
        <w:t xml:space="preserve"> 2020 году – 25133).</w:t>
      </w:r>
    </w:p>
    <w:p w14:paraId="41AE5DD9" w14:textId="77777777" w:rsidR="00A379F7" w:rsidRPr="00726A49" w:rsidRDefault="00A379F7" w:rsidP="00F06F5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уровня жизни населения, обеспечения социально-экономического роста района мы участвуем в существующих федеральных и региональных программах, реализации мероприятий национальных проектов, развиваем формы общественного самоуправления, общественные организации. </w:t>
      </w:r>
    </w:p>
    <w:p w14:paraId="4A0380B8" w14:textId="77777777" w:rsidR="002C7FE0" w:rsidRDefault="002C7FE0" w:rsidP="00F06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335AE" w14:textId="6DA9279D" w:rsidR="00A379F7" w:rsidRDefault="00A379F7" w:rsidP="00F06F5D">
      <w:pPr>
        <w:spacing w:line="240" w:lineRule="auto"/>
        <w:ind w:firstLine="248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sz w:val="28"/>
          <w:szCs w:val="28"/>
        </w:rPr>
        <w:t>Благодарю всех, чьим трудом обеспечивается благосостояние района, – это органы местного самоуправления, территориального общественного самоуправления, руководители и работники предприятий и организаций, предприниматели, общественные объединения.</w:t>
      </w:r>
    </w:p>
    <w:p w14:paraId="0D61916C" w14:textId="7314988D" w:rsidR="00622EBB" w:rsidRDefault="00622EBB" w:rsidP="002C7FE0">
      <w:pPr>
        <w:spacing w:line="360" w:lineRule="auto"/>
        <w:ind w:firstLine="2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EBB" w:rsidSect="00990B47">
      <w:pgSz w:w="11906" w:h="16838"/>
      <w:pgMar w:top="851" w:right="99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IBM Plex Serif"/>
    <w:charset w:val="CC"/>
    <w:family w:val="roman"/>
    <w:pitch w:val="variable"/>
    <w:sig w:usb0="A000026F" w:usb1="5000203B" w:usb2="00000000" w:usb3="00000000" w:csb0="00000197" w:csb1="00000000"/>
  </w:font>
  <w:font w:name="IBM Plex Serif Text">
    <w:altName w:val="Cambria"/>
    <w:panose1 w:val="00000000000000000000"/>
    <w:charset w:val="00"/>
    <w:family w:val="roman"/>
    <w:notTrueType/>
    <w:pitch w:val="variable"/>
    <w:sig w:usb0="A000026F" w:usb1="5000207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F7"/>
    <w:rsid w:val="002C7FE0"/>
    <w:rsid w:val="004B5CAB"/>
    <w:rsid w:val="00622EBB"/>
    <w:rsid w:val="00635586"/>
    <w:rsid w:val="006468AE"/>
    <w:rsid w:val="00726A49"/>
    <w:rsid w:val="0082158D"/>
    <w:rsid w:val="008A4387"/>
    <w:rsid w:val="00926DE5"/>
    <w:rsid w:val="00990B47"/>
    <w:rsid w:val="00A379F7"/>
    <w:rsid w:val="00BB057A"/>
    <w:rsid w:val="00F06F5D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0879"/>
  <w15:docId w15:val="{5AD6824F-7D98-48AB-8252-6CFE005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ка (СП)"/>
    <w:basedOn w:val="a"/>
    <w:next w:val="a"/>
    <w:uiPriority w:val="99"/>
    <w:rsid w:val="00A379F7"/>
    <w:pPr>
      <w:suppressAutoHyphens/>
      <w:autoSpaceDE w:val="0"/>
      <w:autoSpaceDN w:val="0"/>
      <w:adjustRightInd w:val="0"/>
      <w:spacing w:after="220" w:line="220" w:lineRule="atLeast"/>
      <w:textAlignment w:val="center"/>
    </w:pPr>
    <w:rPr>
      <w:rFonts w:ascii="IBM Plex Serif" w:hAnsi="IBM Plex Serif" w:cs="IBM Plex Serif"/>
      <w:b/>
      <w:bCs/>
      <w:color w:val="000000"/>
      <w:sz w:val="20"/>
      <w:szCs w:val="20"/>
    </w:rPr>
  </w:style>
  <w:style w:type="paragraph" w:customStyle="1" w:styleId="a4">
    <w:name w:val="текст основной (СП)"/>
    <w:basedOn w:val="a"/>
    <w:uiPriority w:val="99"/>
    <w:rsid w:val="00A379F7"/>
    <w:pPr>
      <w:autoSpaceDE w:val="0"/>
      <w:autoSpaceDN w:val="0"/>
      <w:adjustRightInd w:val="0"/>
      <w:spacing w:after="0" w:line="220" w:lineRule="atLeast"/>
      <w:ind w:firstLine="248"/>
      <w:jc w:val="both"/>
      <w:textAlignment w:val="center"/>
    </w:pPr>
    <w:rPr>
      <w:rFonts w:ascii="IBM Plex Serif" w:hAnsi="IBM Plex Serif" w:cs="IBM Plex Serif"/>
      <w:color w:val="000000"/>
      <w:sz w:val="19"/>
      <w:szCs w:val="19"/>
    </w:rPr>
  </w:style>
  <w:style w:type="paragraph" w:customStyle="1" w:styleId="a5">
    <w:name w:val="[Без стиля]"/>
    <w:rsid w:val="00A379F7"/>
    <w:pPr>
      <w:autoSpaceDE w:val="0"/>
      <w:autoSpaceDN w:val="0"/>
      <w:adjustRightInd w:val="0"/>
      <w:spacing w:after="0" w:line="288" w:lineRule="auto"/>
      <w:textAlignment w:val="center"/>
    </w:pPr>
    <w:rPr>
      <w:rFonts w:ascii="IBM Plex Serif" w:hAnsi="IBM Plex Serif"/>
      <w:color w:val="000000"/>
      <w:sz w:val="24"/>
      <w:szCs w:val="24"/>
      <w:lang w:val="en-US"/>
    </w:rPr>
  </w:style>
  <w:style w:type="paragraph" w:customStyle="1" w:styleId="a6">
    <w:name w:val="табл (оформление)"/>
    <w:basedOn w:val="a4"/>
    <w:uiPriority w:val="99"/>
    <w:rsid w:val="00A379F7"/>
    <w:pPr>
      <w:ind w:firstLine="0"/>
    </w:pPr>
  </w:style>
  <w:style w:type="paragraph" w:customStyle="1" w:styleId="20">
    <w:name w:val="заголовок 20 (заголовки)"/>
    <w:basedOn w:val="a5"/>
    <w:uiPriority w:val="99"/>
    <w:rsid w:val="00A379F7"/>
    <w:pPr>
      <w:tabs>
        <w:tab w:val="right" w:leader="dot" w:pos="540"/>
      </w:tabs>
      <w:suppressAutoHyphens/>
      <w:spacing w:after="220" w:line="520" w:lineRule="atLeast"/>
    </w:pPr>
    <w:rPr>
      <w:rFonts w:cs="IBM Plex Serif"/>
      <w:sz w:val="48"/>
      <w:szCs w:val="48"/>
      <w:lang w:val="ru-RU"/>
    </w:rPr>
  </w:style>
  <w:style w:type="paragraph" w:customStyle="1" w:styleId="a7">
    <w:name w:val="подзаголовок (заголовки)"/>
    <w:basedOn w:val="a5"/>
    <w:uiPriority w:val="99"/>
    <w:rsid w:val="00A379F7"/>
    <w:pPr>
      <w:tabs>
        <w:tab w:val="right" w:leader="dot" w:pos="540"/>
      </w:tabs>
      <w:suppressAutoHyphens/>
      <w:spacing w:after="57" w:line="360" w:lineRule="atLeast"/>
    </w:pPr>
    <w:rPr>
      <w:rFonts w:ascii="IBM Plex Serif Text" w:hAnsi="IBM Plex Serif Text" w:cs="IBM Plex Serif Text"/>
      <w:sz w:val="32"/>
      <w:szCs w:val="32"/>
      <w:lang w:val="ru-RU"/>
    </w:rPr>
  </w:style>
  <w:style w:type="character" w:customStyle="1" w:styleId="a8">
    <w:name w:val="ТВ текст нормал"/>
    <w:uiPriority w:val="99"/>
    <w:rsid w:val="00A379F7"/>
    <w:rPr>
      <w:rFonts w:ascii="Open Sans" w:hAnsi="Open Sans" w:cs="Open Sans"/>
      <w:color w:val="000000"/>
      <w:spacing w:val="0"/>
      <w:w w:val="9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Правда</Company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Иванов</cp:lastModifiedBy>
  <cp:revision>8</cp:revision>
  <dcterms:created xsi:type="dcterms:W3CDTF">2022-05-05T00:45:00Z</dcterms:created>
  <dcterms:modified xsi:type="dcterms:W3CDTF">2022-05-05T04:46:00Z</dcterms:modified>
</cp:coreProperties>
</file>