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2E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B5DA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F44D2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2F44D2">
        <w:rPr>
          <w:rFonts w:ascii="Times New Roman" w:hAnsi="Times New Roman" w:cs="Times New Roman"/>
          <w:sz w:val="26"/>
          <w:szCs w:val="26"/>
        </w:rPr>
        <w:t>1</w:t>
      </w:r>
      <w:r w:rsidR="004427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                                                                                                № </w:t>
      </w:r>
      <w:r w:rsidR="00D531D7">
        <w:rPr>
          <w:rFonts w:ascii="Times New Roman" w:hAnsi="Times New Roman" w:cs="Times New Roman"/>
          <w:sz w:val="26"/>
          <w:szCs w:val="26"/>
        </w:rPr>
        <w:t>46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D24580" w:rsidRDefault="00D24580" w:rsidP="00D245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 в сфере муниципального земельного контроля на 201</w:t>
      </w:r>
      <w:r w:rsidR="004427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24580" w:rsidRDefault="00D24580" w:rsidP="00D24580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Новомихайловского сельсовета</w:t>
      </w:r>
    </w:p>
    <w:p w:rsidR="00D24580" w:rsidRDefault="00D24580" w:rsidP="00D2458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24580" w:rsidRDefault="00D24580" w:rsidP="00D2458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Программу профилактики нарушений обязательных требований в сфере муниципального земельного контроля на 201</w:t>
      </w:r>
      <w:r w:rsidR="004427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год, согласно приложению.</w:t>
      </w:r>
    </w:p>
    <w:p w:rsidR="00D24580" w:rsidRDefault="00D24580" w:rsidP="00D2458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D24580" w:rsidRPr="00D24580" w:rsidRDefault="00D24580" w:rsidP="00D2458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D24580" w:rsidRPr="00D24580" w:rsidRDefault="00D24580" w:rsidP="00D2458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П. А. Лавринов</w:t>
      </w: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Администрации Новомихайловского сельсовета от «</w:t>
      </w:r>
      <w:r w:rsidR="009B5DA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F44D2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2F44D2">
        <w:rPr>
          <w:rFonts w:ascii="Times New Roman" w:hAnsi="Times New Roman" w:cs="Times New Roman"/>
          <w:sz w:val="26"/>
          <w:szCs w:val="26"/>
        </w:rPr>
        <w:t>1</w:t>
      </w:r>
      <w:r w:rsidR="004427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531D7">
        <w:rPr>
          <w:rFonts w:ascii="Times New Roman" w:hAnsi="Times New Roman" w:cs="Times New Roman"/>
          <w:sz w:val="26"/>
          <w:szCs w:val="26"/>
        </w:rPr>
        <w:t>46</w:t>
      </w:r>
    </w:p>
    <w:p w:rsidR="00D24580" w:rsidRDefault="00D24580" w:rsidP="00D24580">
      <w:pPr>
        <w:pStyle w:val="a3"/>
        <w:spacing w:after="0" w:line="240" w:lineRule="auto"/>
        <w:ind w:left="4678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4580" w:rsidRDefault="00D24580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32"/>
          <w:szCs w:val="26"/>
        </w:rPr>
      </w:pP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96"/>
          <w:szCs w:val="26"/>
        </w:rPr>
      </w:pPr>
      <w:r w:rsidRPr="002B5D65">
        <w:rPr>
          <w:rFonts w:ascii="Times New Roman" w:hAnsi="Times New Roman" w:cs="Times New Roman"/>
          <w:b/>
          <w:sz w:val="96"/>
          <w:szCs w:val="26"/>
        </w:rPr>
        <w:t xml:space="preserve">ПРОГРАММА </w:t>
      </w: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 xml:space="preserve">профилактики нарушений </w:t>
      </w: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 xml:space="preserve">обязательных требований </w:t>
      </w: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 xml:space="preserve">в сфере муниципального </w:t>
      </w:r>
    </w:p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 xml:space="preserve">земельного контроля </w:t>
      </w: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  <w:r w:rsidRPr="002B5D65">
        <w:rPr>
          <w:rFonts w:ascii="Times New Roman" w:hAnsi="Times New Roman" w:cs="Times New Roman"/>
          <w:b/>
          <w:sz w:val="72"/>
          <w:szCs w:val="26"/>
        </w:rPr>
        <w:t>на 201</w:t>
      </w:r>
      <w:r w:rsidR="004427ED">
        <w:rPr>
          <w:rFonts w:ascii="Times New Roman" w:hAnsi="Times New Roman" w:cs="Times New Roman"/>
          <w:b/>
          <w:sz w:val="72"/>
          <w:szCs w:val="26"/>
        </w:rPr>
        <w:t>9</w:t>
      </w:r>
      <w:r w:rsidRPr="002B5D65">
        <w:rPr>
          <w:rFonts w:ascii="Times New Roman" w:hAnsi="Times New Roman" w:cs="Times New Roman"/>
          <w:b/>
          <w:sz w:val="72"/>
          <w:szCs w:val="26"/>
        </w:rPr>
        <w:t xml:space="preserve"> год</w:t>
      </w: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72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4427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01208B" w:rsidRDefault="0001208B" w:rsidP="0001208B">
      <w:pPr>
        <w:spacing w:after="0" w:line="240" w:lineRule="auto"/>
        <w:ind w:right="-1"/>
        <w:contextualSpacing/>
      </w:pP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5878"/>
        <w:gridCol w:w="3166"/>
      </w:tblGrid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ind w:right="-1"/>
              <w:contextualSpacing/>
            </w:pPr>
            <w:r>
              <w:t>Цель Программы</w:t>
            </w:r>
          </w:p>
        </w:tc>
        <w:tc>
          <w:tcPr>
            <w:tcW w:w="3166" w:type="dxa"/>
          </w:tcPr>
          <w:p w:rsidR="0001208B" w:rsidRDefault="0001208B" w:rsidP="00F20375">
            <w:pPr>
              <w:ind w:right="-1"/>
              <w:contextualSpacing/>
              <w:jc w:val="right"/>
            </w:pPr>
            <w:r>
              <w:t>3</w:t>
            </w:r>
          </w:p>
        </w:tc>
      </w:tr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ind w:right="-1"/>
              <w:contextualSpacing/>
            </w:pPr>
            <w:r>
              <w:t>Задачи Программы</w:t>
            </w:r>
          </w:p>
        </w:tc>
        <w:tc>
          <w:tcPr>
            <w:tcW w:w="3166" w:type="dxa"/>
          </w:tcPr>
          <w:p w:rsidR="0001208B" w:rsidRDefault="0001208B" w:rsidP="00F20375">
            <w:pPr>
              <w:ind w:right="-1"/>
              <w:contextualSpacing/>
              <w:jc w:val="right"/>
            </w:pPr>
            <w:r>
              <w:t>4</w:t>
            </w:r>
          </w:p>
        </w:tc>
      </w:tr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  <w:tc>
          <w:tcPr>
            <w:tcW w:w="3166" w:type="dxa"/>
          </w:tcPr>
          <w:p w:rsidR="0001208B" w:rsidRDefault="00C571A0" w:rsidP="00F20375">
            <w:pPr>
              <w:ind w:right="-1"/>
              <w:contextualSpacing/>
              <w:jc w:val="right"/>
            </w:pPr>
            <w:r>
              <w:t>4</w:t>
            </w:r>
          </w:p>
        </w:tc>
      </w:tr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4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ind w:right="-1"/>
              <w:contextualSpacing/>
            </w:pPr>
            <w:r>
              <w:rPr>
                <w:rFonts w:eastAsia="Times New Roman"/>
              </w:rPr>
              <w:t>Механизм оценки эффективности и результативности профилактических мероприятий</w:t>
            </w:r>
          </w:p>
        </w:tc>
        <w:tc>
          <w:tcPr>
            <w:tcW w:w="3166" w:type="dxa"/>
          </w:tcPr>
          <w:p w:rsidR="0001208B" w:rsidRDefault="0001208B" w:rsidP="00F20375">
            <w:pPr>
              <w:ind w:right="-1"/>
              <w:contextualSpacing/>
              <w:jc w:val="right"/>
            </w:pPr>
          </w:p>
          <w:p w:rsidR="0001208B" w:rsidRDefault="00C571A0" w:rsidP="00F20375">
            <w:pPr>
              <w:ind w:right="-1"/>
              <w:contextualSpacing/>
              <w:jc w:val="right"/>
            </w:pPr>
            <w:r>
              <w:t>4</w:t>
            </w:r>
          </w:p>
        </w:tc>
      </w:tr>
      <w:tr w:rsidR="0001208B" w:rsidTr="0001208B">
        <w:tc>
          <w:tcPr>
            <w:tcW w:w="527" w:type="dxa"/>
          </w:tcPr>
          <w:p w:rsidR="0001208B" w:rsidRDefault="0001208B" w:rsidP="00F20375">
            <w:pPr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5878" w:type="dxa"/>
          </w:tcPr>
          <w:p w:rsidR="0001208B" w:rsidRPr="00FC2FCB" w:rsidRDefault="0001208B" w:rsidP="00F20375">
            <w:pPr>
              <w:ind w:right="-1"/>
              <w:contextualSpacing/>
            </w:pPr>
            <w:r>
              <w:rPr>
                <w:rFonts w:eastAsia="Times New Roman"/>
              </w:rPr>
              <w:t>Мероприятия по профилактике нарушений</w:t>
            </w:r>
          </w:p>
        </w:tc>
        <w:tc>
          <w:tcPr>
            <w:tcW w:w="3166" w:type="dxa"/>
          </w:tcPr>
          <w:p w:rsidR="0001208B" w:rsidRDefault="00C571A0" w:rsidP="00F20375">
            <w:pPr>
              <w:ind w:right="-1"/>
              <w:contextualSpacing/>
              <w:jc w:val="right"/>
            </w:pPr>
            <w:r>
              <w:t>5</w:t>
            </w:r>
          </w:p>
        </w:tc>
      </w:tr>
    </w:tbl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Default="0001208B" w:rsidP="0001208B">
      <w:pPr>
        <w:spacing w:after="0" w:line="240" w:lineRule="auto"/>
        <w:ind w:right="-1"/>
        <w:contextualSpacing/>
        <w:jc w:val="center"/>
      </w:pPr>
    </w:p>
    <w:p w:rsidR="0001208B" w:rsidRPr="00C571A0" w:rsidRDefault="0001208B" w:rsidP="0001208B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1A0">
        <w:rPr>
          <w:rFonts w:ascii="Times New Roman" w:hAnsi="Times New Roman" w:cs="Times New Roman"/>
          <w:b/>
          <w:sz w:val="26"/>
          <w:szCs w:val="26"/>
        </w:rPr>
        <w:lastRenderedPageBreak/>
        <w:t>Паспорт 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Наименование Программы</w:t>
            </w:r>
          </w:p>
        </w:tc>
        <w:tc>
          <w:tcPr>
            <w:tcW w:w="4786" w:type="dxa"/>
          </w:tcPr>
          <w:p w:rsidR="0001208B" w:rsidRDefault="0001208B" w:rsidP="004427ED">
            <w:pPr>
              <w:ind w:right="-1"/>
              <w:contextualSpacing/>
              <w:jc w:val="both"/>
            </w:pPr>
            <w:r>
              <w:t>Программа «</w:t>
            </w:r>
            <w:r>
              <w:rPr>
                <w:rFonts w:cs="Times New Roman"/>
                <w:szCs w:val="26"/>
              </w:rPr>
              <w:t>Профилактики нарушений обязательных требований в сфере муниципального земельного контроля на 201</w:t>
            </w:r>
            <w:r w:rsidR="004427ED">
              <w:rPr>
                <w:rFonts w:cs="Times New Roman"/>
                <w:szCs w:val="26"/>
              </w:rPr>
              <w:t>9</w:t>
            </w:r>
            <w:r>
              <w:rPr>
                <w:rFonts w:cs="Times New Roman"/>
                <w:szCs w:val="26"/>
              </w:rPr>
              <w:t xml:space="preserve"> год</w:t>
            </w:r>
            <w:r>
              <w:t>» (далее Программа)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Основания для разработки Программы</w:t>
            </w:r>
          </w:p>
        </w:tc>
        <w:tc>
          <w:tcPr>
            <w:tcW w:w="4786" w:type="dxa"/>
          </w:tcPr>
          <w:p w:rsidR="0001208B" w:rsidRDefault="00E453E8" w:rsidP="00E453E8">
            <w:pPr>
              <w:ind w:right="-1"/>
              <w:contextualSpacing/>
              <w:jc w:val="both"/>
            </w:pPr>
            <w:r>
              <w:rPr>
                <w:rFonts w:cs="Times New Roman"/>
                <w:szCs w:val="26"/>
              </w:rPr>
              <w:t>Часть 1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1208B">
              <w:t>, Федеральный закон от 06.10.2003 года № 131-ФЗ «Об общих принципах местного самоуправления в Российской Федерации»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Заказчик Программы</w:t>
            </w:r>
          </w:p>
        </w:tc>
        <w:tc>
          <w:tcPr>
            <w:tcW w:w="4786" w:type="dxa"/>
          </w:tcPr>
          <w:p w:rsidR="0001208B" w:rsidRDefault="0001208B" w:rsidP="00F20375">
            <w:pPr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Основной разработчик Программы</w:t>
            </w:r>
          </w:p>
        </w:tc>
        <w:tc>
          <w:tcPr>
            <w:tcW w:w="4786" w:type="dxa"/>
          </w:tcPr>
          <w:p w:rsidR="0001208B" w:rsidRDefault="0001208B" w:rsidP="00F20375">
            <w:pPr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Цели Программы</w:t>
            </w: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</w:p>
          <w:p w:rsidR="0001208B" w:rsidRDefault="0001208B" w:rsidP="00F20375">
            <w:pPr>
              <w:ind w:right="-1"/>
              <w:contextualSpacing/>
            </w:pPr>
            <w:r>
              <w:t>Задачи Программы</w:t>
            </w:r>
          </w:p>
        </w:tc>
        <w:tc>
          <w:tcPr>
            <w:tcW w:w="4786" w:type="dxa"/>
          </w:tcPr>
          <w:p w:rsidR="0001208B" w:rsidRDefault="00E453E8" w:rsidP="0001208B">
            <w:pPr>
              <w:pStyle w:val="a3"/>
              <w:numPr>
                <w:ilvl w:val="0"/>
                <w:numId w:val="2"/>
              </w:numPr>
              <w:ind w:right="-1"/>
              <w:jc w:val="both"/>
            </w:pPr>
            <w:r>
              <w:t>Предупреждение юридическими лицами, индивидуальными предпринимателями и гражданами обязательных требований</w:t>
            </w:r>
            <w:r w:rsidR="0001208B">
              <w:t>;</w:t>
            </w:r>
          </w:p>
          <w:p w:rsidR="0001208B" w:rsidRDefault="00E453E8" w:rsidP="0001208B">
            <w:pPr>
              <w:pStyle w:val="a3"/>
              <w:numPr>
                <w:ilvl w:val="0"/>
                <w:numId w:val="2"/>
              </w:numPr>
              <w:ind w:right="-1"/>
              <w:jc w:val="both"/>
            </w:pPr>
            <w:r>
              <w:t>Устранение причин, факторов и условий, способствующих нарушением обязательных требований.</w:t>
            </w:r>
          </w:p>
          <w:p w:rsidR="0001208B" w:rsidRDefault="0001208B" w:rsidP="00F20375">
            <w:pPr>
              <w:ind w:right="-1"/>
              <w:contextualSpacing/>
              <w:jc w:val="both"/>
            </w:pPr>
          </w:p>
          <w:p w:rsidR="0001208B" w:rsidRPr="00E453E8" w:rsidRDefault="0001208B" w:rsidP="00E453E8">
            <w:pPr>
              <w:pStyle w:val="a3"/>
              <w:numPr>
                <w:ilvl w:val="0"/>
                <w:numId w:val="2"/>
              </w:numPr>
              <w:ind w:right="-1"/>
              <w:jc w:val="both"/>
            </w:pPr>
            <w:r>
              <w:t xml:space="preserve">Обеспечение </w:t>
            </w:r>
            <w:r w:rsidR="00E453E8">
              <w:t>соблюдения юридическими лицами, индивидуальными предпринимателями и гражданами требований земельного законодательства при использовании земельного участка.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Сроки реализации Программы</w:t>
            </w:r>
          </w:p>
        </w:tc>
        <w:tc>
          <w:tcPr>
            <w:tcW w:w="4786" w:type="dxa"/>
          </w:tcPr>
          <w:p w:rsidR="0001208B" w:rsidRDefault="0001208B" w:rsidP="004427ED">
            <w:pPr>
              <w:ind w:right="-1"/>
              <w:contextualSpacing/>
              <w:jc w:val="both"/>
            </w:pPr>
            <w:r>
              <w:t>201</w:t>
            </w:r>
            <w:r w:rsidR="004427ED">
              <w:t>9</w:t>
            </w:r>
            <w:r>
              <w:t xml:space="preserve"> </w:t>
            </w:r>
            <w:r w:rsidR="00E453E8">
              <w:t>год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01208B" w:rsidRDefault="00E453E8" w:rsidP="00F20375">
            <w:pPr>
              <w:widowControl w:val="0"/>
              <w:shd w:val="clear" w:color="auto" w:fill="FFFFFF"/>
              <w:adjustRightInd w:val="0"/>
              <w:contextualSpacing/>
            </w:pPr>
            <w:r>
              <w:rPr>
                <w:rFonts w:cs="Times New Roman"/>
                <w:szCs w:val="26"/>
              </w:rPr>
              <w:t>Реализация Программы не требует финансовых затрат.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t>Ожидаемый результат реализации Программы</w:t>
            </w:r>
          </w:p>
        </w:tc>
        <w:tc>
          <w:tcPr>
            <w:tcW w:w="4786" w:type="dxa"/>
          </w:tcPr>
          <w:p w:rsidR="0001208B" w:rsidRPr="00E453E8" w:rsidRDefault="00CB7DBC" w:rsidP="00E453E8">
            <w:pPr>
              <w:pStyle w:val="a3"/>
              <w:numPr>
                <w:ilvl w:val="0"/>
                <w:numId w:val="3"/>
              </w:numPr>
              <w:ind w:right="-1"/>
              <w:jc w:val="both"/>
            </w:pPr>
            <w:r>
              <w:t xml:space="preserve">Обеспечение информированности юридических лиц, индивидуальных предпринимателей и граждан по вопросам необходимости соблюдения обязательных </w:t>
            </w:r>
            <w:r>
              <w:lastRenderedPageBreak/>
              <w:t>требований земельного законодательства</w:t>
            </w:r>
            <w:r w:rsidR="0001208B" w:rsidRPr="00E453E8">
              <w:t>;</w:t>
            </w:r>
          </w:p>
          <w:p w:rsidR="0001208B" w:rsidRPr="00E453E8" w:rsidRDefault="00CB7DBC" w:rsidP="00CB7DBC">
            <w:pPr>
              <w:pStyle w:val="a3"/>
              <w:numPr>
                <w:ilvl w:val="0"/>
                <w:numId w:val="3"/>
              </w:numPr>
              <w:ind w:right="-1"/>
              <w:jc w:val="both"/>
            </w:pPr>
            <w:r>
              <w:t>Сокращение фактов нарушений земельного законодательства правообладателем земельного участка на территории муниципального образования Новомихайловский сельсовет</w:t>
            </w:r>
            <w:r w:rsidR="0001208B" w:rsidRPr="00E453E8">
              <w:t>.</w:t>
            </w:r>
          </w:p>
        </w:tc>
      </w:tr>
      <w:tr w:rsidR="0001208B" w:rsidTr="00F20375">
        <w:tc>
          <w:tcPr>
            <w:tcW w:w="4785" w:type="dxa"/>
          </w:tcPr>
          <w:p w:rsidR="0001208B" w:rsidRDefault="0001208B" w:rsidP="00F20375">
            <w:pPr>
              <w:ind w:right="-1"/>
              <w:contextualSpacing/>
            </w:pPr>
            <w:r>
              <w:lastRenderedPageBreak/>
              <w:t>Контроль исполнения Программы</w:t>
            </w:r>
          </w:p>
        </w:tc>
        <w:tc>
          <w:tcPr>
            <w:tcW w:w="4786" w:type="dxa"/>
          </w:tcPr>
          <w:p w:rsidR="0001208B" w:rsidRDefault="0001208B" w:rsidP="00F20375">
            <w:pPr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</w:tbl>
    <w:p w:rsidR="00CB7DBC" w:rsidRDefault="00CB7DBC" w:rsidP="00CB7DBC">
      <w:pPr>
        <w:pStyle w:val="ConsPlusNormal"/>
        <w:jc w:val="center"/>
        <w:outlineLvl w:val="1"/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1. Цель Программы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Программа профилактики нарушений обязательных требований (далее - Программа) разработана в целях предупреждения нарушений юридическими лицами, инди</w:t>
      </w:r>
      <w:r w:rsidR="00883D3C">
        <w:rPr>
          <w:sz w:val="26"/>
          <w:szCs w:val="26"/>
        </w:rPr>
        <w:t xml:space="preserve">видуальными предпринимателями </w:t>
      </w:r>
      <w:r w:rsidRPr="00C571A0">
        <w:rPr>
          <w:sz w:val="26"/>
          <w:szCs w:val="26"/>
        </w:rPr>
        <w:t>обязательных требований, устранения причин, факторов и условий, способствующих нарушениям обязательных требований.</w:t>
      </w:r>
    </w:p>
    <w:p w:rsidR="00CB7DBC" w:rsidRPr="00C571A0" w:rsidRDefault="00CB7DBC" w:rsidP="00CB7DB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Настоящая Программа определяет мероприятия и сроки их реализации Комиссией, осуществляющей муниципальный земельный контроль на территории муниципального образования Новомихайловский сельсовет (далее - Комиссия).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2. Задачи Программы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Обеспечение соблюдения юридическими лицами, индивидуальными предпринимателями и гражданами требований земельного законодательства при использовании земельного участка.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3. Ожидаемые результаты</w:t>
      </w:r>
    </w:p>
    <w:p w:rsidR="00CB7DBC" w:rsidRPr="00C571A0" w:rsidRDefault="00CB7DBC" w:rsidP="00CB7DBC">
      <w:pPr>
        <w:pStyle w:val="ConsPlusNormal"/>
        <w:jc w:val="both"/>
        <w:rPr>
          <w:b/>
          <w:sz w:val="26"/>
          <w:szCs w:val="26"/>
        </w:rPr>
      </w:pPr>
    </w:p>
    <w:p w:rsidR="00CB7DBC" w:rsidRPr="00C571A0" w:rsidRDefault="00CB7DBC" w:rsidP="00CB7DBC">
      <w:pPr>
        <w:pStyle w:val="ConsPlusNormal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1. Обеспечение информированности юридических лиц, индивидуальных предпринимателей и граждан по вопросам необходимости соблюдения обязательных требований земельного законодательства.</w:t>
      </w:r>
    </w:p>
    <w:p w:rsidR="00CB7DBC" w:rsidRPr="00C571A0" w:rsidRDefault="00CB7DBC" w:rsidP="00CB7DBC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2. Сокращение фактов нарушений земельного законодательства правообладателем земельного участка на территории муниципального образования Новомихайловский сельсовет.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4. Механизм оценки эффективности и результативности</w:t>
      </w:r>
    </w:p>
    <w:p w:rsidR="00CB7DBC" w:rsidRPr="00C571A0" w:rsidRDefault="00CB7DBC" w:rsidP="00CB7DBC">
      <w:pPr>
        <w:pStyle w:val="ConsPlusNormal"/>
        <w:jc w:val="center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t>профилактических мероприятий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ind w:firstLine="540"/>
        <w:jc w:val="both"/>
        <w:rPr>
          <w:sz w:val="26"/>
          <w:szCs w:val="26"/>
        </w:rPr>
      </w:pPr>
      <w:r w:rsidRPr="00C571A0">
        <w:rPr>
          <w:sz w:val="26"/>
          <w:szCs w:val="26"/>
        </w:rPr>
        <w:t>Результатами достижения задачи будут считаться - сокращение нарушений юридическими лицами, индивидуальными предпринимателями и гражданами земельного законодательства при использовании земельного участка.</w:t>
      </w:r>
    </w:p>
    <w:p w:rsidR="00CB7DBC" w:rsidRPr="00C571A0" w:rsidRDefault="00CB7DBC" w:rsidP="00CB7DBC">
      <w:pPr>
        <w:pStyle w:val="ConsPlusNormal"/>
        <w:jc w:val="both"/>
        <w:rPr>
          <w:sz w:val="26"/>
          <w:szCs w:val="26"/>
        </w:rPr>
      </w:pPr>
    </w:p>
    <w:p w:rsidR="00C571A0" w:rsidRDefault="00C571A0" w:rsidP="00CB7DBC">
      <w:pPr>
        <w:pStyle w:val="ConsPlusNormal"/>
        <w:jc w:val="center"/>
        <w:outlineLvl w:val="1"/>
        <w:rPr>
          <w:sz w:val="26"/>
          <w:szCs w:val="26"/>
        </w:rPr>
      </w:pPr>
    </w:p>
    <w:p w:rsidR="00CB7DBC" w:rsidRPr="00C571A0" w:rsidRDefault="00CB7DBC" w:rsidP="00CB7DBC">
      <w:pPr>
        <w:pStyle w:val="ConsPlusNormal"/>
        <w:jc w:val="center"/>
        <w:outlineLvl w:val="1"/>
        <w:rPr>
          <w:b/>
          <w:sz w:val="26"/>
          <w:szCs w:val="26"/>
        </w:rPr>
      </w:pPr>
      <w:r w:rsidRPr="00C571A0">
        <w:rPr>
          <w:b/>
          <w:sz w:val="26"/>
          <w:szCs w:val="26"/>
        </w:rPr>
        <w:lastRenderedPageBreak/>
        <w:t>5. Мероприятия по профилактике нарушений</w:t>
      </w:r>
    </w:p>
    <w:p w:rsidR="00CB7DBC" w:rsidRDefault="00CB7DBC" w:rsidP="00CB7D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2268"/>
        <w:gridCol w:w="1984"/>
      </w:tblGrid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N п/п</w:t>
            </w:r>
          </w:p>
        </w:tc>
        <w:tc>
          <w:tcPr>
            <w:tcW w:w="4252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Исполнитель</w:t>
            </w:r>
          </w:p>
        </w:tc>
      </w:tr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B7DBC" w:rsidRPr="00C571A0" w:rsidRDefault="00CB7DBC" w:rsidP="00CB7DBC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 xml:space="preserve">Размещение на официальном сайте Администрации Новомихайловского сельсовета </w:t>
            </w:r>
            <w:r w:rsidR="00C571A0" w:rsidRPr="00C571A0">
              <w:rPr>
                <w:sz w:val="26"/>
                <w:szCs w:val="26"/>
              </w:rPr>
              <w:t>http://www.mo-altay.ru/index.php?option=com_content&amp;view=article&amp;id=177&amp;Itemid=563</w:t>
            </w:r>
            <w:r w:rsidRPr="00C571A0">
              <w:rPr>
                <w:sz w:val="26"/>
                <w:szCs w:val="26"/>
              </w:rPr>
              <w:t>, в разделе "Муниципальный земельный контроль"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течение года (по мере необходимости);</w:t>
            </w:r>
          </w:p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конференции, семинары:</w:t>
            </w:r>
          </w:p>
          <w:p w:rsidR="00CB7DBC" w:rsidRPr="00C571A0" w:rsidRDefault="00CB7DBC" w:rsidP="004427ED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2, 4 кв. 201</w:t>
            </w:r>
            <w:r w:rsidR="004427ED">
              <w:rPr>
                <w:sz w:val="26"/>
                <w:szCs w:val="26"/>
              </w:rPr>
              <w:t>9</w:t>
            </w:r>
            <w:r w:rsidRPr="00C571A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2" w:type="dxa"/>
          </w:tcPr>
          <w:p w:rsidR="00CB7DBC" w:rsidRPr="00C571A0" w:rsidRDefault="00CB7DBC" w:rsidP="00C571A0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 xml:space="preserve">Обобщения практики осуществления муниципального земельного контроля и размещение на официальном интернет-сайте Администрации </w:t>
            </w:r>
            <w:r w:rsidR="00C571A0" w:rsidRPr="00C571A0">
              <w:rPr>
                <w:sz w:val="26"/>
                <w:szCs w:val="26"/>
              </w:rPr>
              <w:t>Новомихайловского сельсовета</w:t>
            </w:r>
            <w:r w:rsidRPr="00C571A0">
              <w:rPr>
                <w:sz w:val="26"/>
                <w:szCs w:val="26"/>
              </w:rPr>
              <w:t xml:space="preserve"> </w:t>
            </w:r>
            <w:r w:rsidR="00C571A0" w:rsidRPr="00C571A0">
              <w:rPr>
                <w:sz w:val="26"/>
                <w:szCs w:val="26"/>
              </w:rPr>
              <w:t>http://www.mo-altay.ru/index.php?option=com_content&amp;view=article&amp;id=177&amp;Itemid=563</w:t>
            </w:r>
            <w:r w:rsidRPr="00C571A0">
              <w:rPr>
                <w:sz w:val="26"/>
                <w:szCs w:val="26"/>
              </w:rPr>
              <w:t>, в разделе "Муниципальный земельный контроль"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течение года (по мере необходимости, не реже одного раза в год)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CB7DBC" w:rsidRPr="00C571A0" w:rsidTr="00F20375">
        <w:tc>
          <w:tcPr>
            <w:tcW w:w="567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5" w:history="1">
              <w:r w:rsidRPr="00C571A0">
                <w:rPr>
                  <w:color w:val="000000" w:themeColor="text1"/>
                  <w:sz w:val="26"/>
                  <w:szCs w:val="26"/>
                </w:rPr>
                <w:t>частями 5</w:t>
              </w:r>
            </w:hyperlink>
            <w:r w:rsidRPr="00C571A0">
              <w:rPr>
                <w:color w:val="000000" w:themeColor="text1"/>
                <w:sz w:val="26"/>
                <w:szCs w:val="26"/>
              </w:rPr>
              <w:t xml:space="preserve"> - </w:t>
            </w:r>
            <w:hyperlink r:id="rId6" w:history="1">
              <w:r w:rsidRPr="00C571A0">
                <w:rPr>
                  <w:color w:val="000000" w:themeColor="text1"/>
                  <w:sz w:val="26"/>
                  <w:szCs w:val="26"/>
                </w:rPr>
                <w:t>7 статьи 8.2</w:t>
              </w:r>
            </w:hyperlink>
            <w:r w:rsidRPr="00C571A0">
              <w:rPr>
                <w:sz w:val="26"/>
                <w:szCs w:val="26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В течение года (по мере оснований, предусмотренных законодательством Российской Федерации)</w:t>
            </w:r>
          </w:p>
        </w:tc>
        <w:tc>
          <w:tcPr>
            <w:tcW w:w="1984" w:type="dxa"/>
          </w:tcPr>
          <w:p w:rsidR="00CB7DBC" w:rsidRPr="00C571A0" w:rsidRDefault="00CB7DBC" w:rsidP="00F20375">
            <w:pPr>
              <w:pStyle w:val="ConsPlusNormal"/>
              <w:rPr>
                <w:sz w:val="26"/>
                <w:szCs w:val="26"/>
              </w:rPr>
            </w:pPr>
            <w:r w:rsidRPr="00C571A0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 w:rsidR="002B5D65" w:rsidRPr="002B5D65" w:rsidRDefault="002B5D65" w:rsidP="00D24580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2B5D65" w:rsidRPr="002B5D65" w:rsidSect="00D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696F"/>
    <w:multiLevelType w:val="hybridMultilevel"/>
    <w:tmpl w:val="3132C566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672A"/>
    <w:multiLevelType w:val="hybridMultilevel"/>
    <w:tmpl w:val="BA7C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2900"/>
    <w:multiLevelType w:val="hybridMultilevel"/>
    <w:tmpl w:val="39108040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580"/>
    <w:rsid w:val="0001208B"/>
    <w:rsid w:val="002B5D65"/>
    <w:rsid w:val="002F44D2"/>
    <w:rsid w:val="0035143F"/>
    <w:rsid w:val="004427ED"/>
    <w:rsid w:val="004E092F"/>
    <w:rsid w:val="00514427"/>
    <w:rsid w:val="005905DA"/>
    <w:rsid w:val="007E105D"/>
    <w:rsid w:val="00883D3C"/>
    <w:rsid w:val="008D4DE3"/>
    <w:rsid w:val="00961410"/>
    <w:rsid w:val="00981085"/>
    <w:rsid w:val="009B5DAF"/>
    <w:rsid w:val="00B75863"/>
    <w:rsid w:val="00BB34AA"/>
    <w:rsid w:val="00C571A0"/>
    <w:rsid w:val="00CB7DBC"/>
    <w:rsid w:val="00CF54F3"/>
    <w:rsid w:val="00D24580"/>
    <w:rsid w:val="00D531D7"/>
    <w:rsid w:val="00DA632E"/>
    <w:rsid w:val="00E453E8"/>
    <w:rsid w:val="00F3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80"/>
    <w:pPr>
      <w:ind w:left="720"/>
      <w:contextualSpacing/>
    </w:pPr>
  </w:style>
  <w:style w:type="table" w:styleId="a4">
    <w:name w:val="Table Grid"/>
    <w:basedOn w:val="a1"/>
    <w:uiPriority w:val="59"/>
    <w:rsid w:val="0001208B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7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A6E937EC83B600E79EABC8DE783A5B94C282F4FF3F477F31BB521D6330CE53BA14205204v2NEE" TargetMode="External"/><Relationship Id="rId5" Type="http://schemas.openxmlformats.org/officeDocument/2006/relationships/hyperlink" Target="consultantplus://offline/ref=D0A6E937EC83B600E79EABC8DE783A5B94C282F4FF3F477F31BB521D6330CE53BA14205204v2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vKMdCWMUpQhZZqJhomiFFOsG2EQ=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iEIn5db7W1NdmccabDswoJgxaCUiItZ8jiDgm3yaUrtagtHpKHohqp6dRvm/Emi19BZVD2O+
    9KM1bK5gcb/xu2KaAkQ5KwTGf/V06iJMy4xZNtEZNwG82uSCboCab0tKcOagOh1jIonGnViw
    AiI7rIcVIAPZCebOnjZOsM6j4ew=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orrjdV0q9Tlk+WAqUBx8sv+9wBc=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cv6cNjkcDNY0tAXoi3+nPLbPswA=</DigestValue>
      </Reference>
      <Reference URI="/word/settings.xml?ContentType=application/vnd.openxmlformats-officedocument.wordprocessingml.settings+xml">
        <DigestMethod Algorithm="http://www.w3.org/2000/09/xmldsig#sha1"/>
        <DigestValue>vZWwOvCRe2+O6xX4o43e+vYI3AQ=</DigestValue>
      </Reference>
      <Reference URI="/word/styles.xml?ContentType=application/vnd.openxmlformats-officedocument.wordprocessingml.styles+xml">
        <DigestMethod Algorithm="http://www.w3.org/2000/09/xmldsig#sha1"/>
        <DigestValue>fZTreFKx874YEvyn4Apn7IeFSpI=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2019-08-15T01:47:33Z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2019-08-12T03:39:00Z</cp:lastPrinted>
  <dcterms:created xsi:type="dcterms:W3CDTF">2018-08-13T06:11:00Z</dcterms:created>
  <dcterms:modified xsi:type="dcterms:W3CDTF">2019-08-12T03:40:00Z</dcterms:modified>
</cp:coreProperties>
</file>